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B35" w:rsidRDefault="00E622A5" w:rsidP="00B33902">
      <w:pPr>
        <w:pStyle w:val="BasicParagraph"/>
        <w:jc w:val="right"/>
        <w:rPr>
          <w:rFonts w:ascii="Arial" w:hAnsi="Arial" w:cs="Arial"/>
          <w:color w:val="72A2ED"/>
          <w:sz w:val="40"/>
          <w:szCs w:val="40"/>
        </w:rPr>
      </w:pPr>
      <w:r>
        <w:rPr>
          <w:rFonts w:ascii="Arial" w:hAnsi="Arial" w:cs="Arial"/>
          <w:color w:val="72A2ED"/>
          <w:sz w:val="40"/>
          <w:szCs w:val="40"/>
        </w:rPr>
        <w:t xml:space="preserve">TCN </w:t>
      </w:r>
      <w:r w:rsidR="00B00CBC">
        <w:rPr>
          <w:rFonts w:ascii="Arial" w:hAnsi="Arial" w:cs="Arial"/>
          <w:color w:val="72A2ED"/>
          <w:sz w:val="40"/>
          <w:szCs w:val="40"/>
        </w:rPr>
        <w:t xml:space="preserve">Transmission System </w:t>
      </w:r>
      <w:r>
        <w:rPr>
          <w:rFonts w:ascii="Arial" w:hAnsi="Arial" w:cs="Arial"/>
          <w:color w:val="72A2ED"/>
          <w:sz w:val="40"/>
          <w:szCs w:val="40"/>
        </w:rPr>
        <w:t>Development Plan</w:t>
      </w:r>
    </w:p>
    <w:p w:rsidR="00B33902" w:rsidRPr="004C3224" w:rsidRDefault="00306B35" w:rsidP="00B33902">
      <w:pPr>
        <w:pStyle w:val="BasicParagraph"/>
        <w:jc w:val="right"/>
        <w:rPr>
          <w:rFonts w:ascii="Arial" w:hAnsi="Arial" w:cs="Arial"/>
          <w:color w:val="72A2ED"/>
          <w:sz w:val="40"/>
          <w:szCs w:val="40"/>
        </w:rPr>
      </w:pPr>
      <w:proofErr w:type="gramStart"/>
      <w:r>
        <w:rPr>
          <w:rFonts w:ascii="Arial" w:hAnsi="Arial" w:cs="Arial"/>
          <w:color w:val="72A2ED"/>
          <w:sz w:val="40"/>
          <w:szCs w:val="40"/>
        </w:rPr>
        <w:t>and</w:t>
      </w:r>
      <w:proofErr w:type="gramEnd"/>
      <w:r>
        <w:rPr>
          <w:rFonts w:ascii="Arial" w:hAnsi="Arial" w:cs="Arial"/>
          <w:color w:val="72A2ED"/>
          <w:sz w:val="40"/>
          <w:szCs w:val="40"/>
        </w:rPr>
        <w:t xml:space="preserve"> Capital Funding Requirements</w:t>
      </w:r>
    </w:p>
    <w:p w:rsidR="00B33902" w:rsidRPr="004C3224" w:rsidRDefault="00B33902" w:rsidP="00B33902">
      <w:pPr>
        <w:ind w:right="-810"/>
        <w:rPr>
          <w:rFonts w:cs="Arial"/>
        </w:rPr>
        <w:sectPr w:rsidR="00B33902" w:rsidRPr="004C3224" w:rsidSect="00516B8C">
          <w:headerReference w:type="default" r:id="rId8"/>
          <w:footerReference w:type="default" r:id="rId9"/>
          <w:footerReference w:type="first" r:id="rId10"/>
          <w:pgSz w:w="12240" w:h="15840" w:code="1"/>
          <w:pgMar w:top="1980" w:right="1350" w:bottom="2160" w:left="1440" w:header="0" w:footer="346" w:gutter="0"/>
          <w:cols w:space="720"/>
        </w:sectPr>
      </w:pPr>
    </w:p>
    <w:p w:rsidR="00B33902" w:rsidRPr="004C3224" w:rsidRDefault="00B33902" w:rsidP="00B33902">
      <w:pPr>
        <w:tabs>
          <w:tab w:val="left" w:pos="5640"/>
        </w:tabs>
        <w:ind w:right="-810"/>
        <w:rPr>
          <w:rFonts w:cs="Arial"/>
        </w:rPr>
      </w:pPr>
      <w:r w:rsidRPr="004C3224">
        <w:rPr>
          <w:rFonts w:cs="Arial"/>
        </w:rPr>
        <w:lastRenderedPageBreak/>
        <w:tab/>
      </w:r>
    </w:p>
    <w:p w:rsidR="00B33902" w:rsidRPr="004C3224" w:rsidRDefault="00B33902" w:rsidP="00B33902">
      <w:pPr>
        <w:ind w:right="-810"/>
        <w:jc w:val="right"/>
        <w:rPr>
          <w:rFonts w:cs="Arial"/>
          <w:color w:val="808080"/>
          <w:sz w:val="32"/>
        </w:rPr>
      </w:pPr>
    </w:p>
    <w:p w:rsidR="00B33902" w:rsidRPr="004C3224" w:rsidRDefault="00B33902" w:rsidP="00B33902">
      <w:pPr>
        <w:ind w:right="-810"/>
        <w:jc w:val="right"/>
        <w:rPr>
          <w:rFonts w:cs="Arial"/>
          <w:color w:val="808080"/>
          <w:sz w:val="32"/>
        </w:rPr>
      </w:pPr>
    </w:p>
    <w:p w:rsidR="00B33902" w:rsidRPr="004C3224" w:rsidRDefault="00B33902" w:rsidP="00B33902">
      <w:pPr>
        <w:ind w:right="-810"/>
        <w:jc w:val="right"/>
        <w:rPr>
          <w:rFonts w:cs="Arial"/>
          <w:color w:val="808080"/>
          <w:sz w:val="32"/>
        </w:rPr>
      </w:pPr>
    </w:p>
    <w:p w:rsidR="00B33902" w:rsidRPr="004C3224" w:rsidRDefault="00B33902" w:rsidP="00B33902">
      <w:pPr>
        <w:ind w:right="-810"/>
        <w:jc w:val="right"/>
        <w:rPr>
          <w:rFonts w:cs="Arial"/>
          <w:color w:val="808080"/>
          <w:sz w:val="32"/>
        </w:rPr>
      </w:pPr>
    </w:p>
    <w:p w:rsidR="00B33902" w:rsidRPr="004C3224" w:rsidRDefault="00B33902" w:rsidP="00B33902">
      <w:pPr>
        <w:ind w:right="-810"/>
        <w:jc w:val="right"/>
        <w:rPr>
          <w:rFonts w:cs="Arial"/>
          <w:color w:val="808080"/>
          <w:sz w:val="32"/>
        </w:rPr>
      </w:pPr>
    </w:p>
    <w:p w:rsidR="00B33902" w:rsidRPr="004C3224" w:rsidRDefault="00B33902" w:rsidP="004C3224">
      <w:pPr>
        <w:pStyle w:val="Heading3"/>
        <w:numPr>
          <w:ilvl w:val="0"/>
          <w:numId w:val="0"/>
        </w:numPr>
        <w:ind w:left="720"/>
      </w:pPr>
    </w:p>
    <w:p w:rsidR="00B33902" w:rsidRPr="004C3224" w:rsidRDefault="00B33902" w:rsidP="00B33902">
      <w:pPr>
        <w:widowControl w:val="0"/>
        <w:autoSpaceDE w:val="0"/>
        <w:autoSpaceDN w:val="0"/>
        <w:adjustRightInd w:val="0"/>
        <w:spacing w:line="288" w:lineRule="auto"/>
        <w:ind w:right="-810"/>
        <w:jc w:val="right"/>
        <w:textAlignment w:val="center"/>
        <w:rPr>
          <w:rFonts w:cs="Arial"/>
          <w:color w:val="4C4C4C"/>
          <w:sz w:val="24"/>
          <w:szCs w:val="24"/>
          <w:lang w:val="en-US" w:bidi="en-US"/>
        </w:rPr>
      </w:pPr>
      <w:r w:rsidRPr="004C3224">
        <w:rPr>
          <w:rFonts w:cs="Arial"/>
          <w:color w:val="4C4C4C"/>
          <w:sz w:val="36"/>
          <w:szCs w:val="36"/>
          <w:lang w:bidi="en-US"/>
        </w:rPr>
        <w:t>Manitoba Hydro International</w:t>
      </w:r>
      <w:r w:rsidR="00242760" w:rsidRPr="004C3224">
        <w:rPr>
          <w:rFonts w:cs="Arial"/>
          <w:color w:val="4C4C4C"/>
          <w:sz w:val="36"/>
          <w:szCs w:val="36"/>
          <w:lang w:bidi="en-US"/>
        </w:rPr>
        <w:t xml:space="preserve"> Ltd.</w:t>
      </w:r>
      <w:r w:rsidRPr="004C3224">
        <w:rPr>
          <w:rFonts w:cs="Arial"/>
          <w:color w:val="4C4C4C"/>
          <w:sz w:val="36"/>
          <w:szCs w:val="36"/>
          <w:lang w:val="en-US" w:bidi="en-US"/>
        </w:rPr>
        <w:br/>
      </w:r>
      <w:r w:rsidRPr="004C3224">
        <w:rPr>
          <w:rFonts w:cs="Arial"/>
        </w:rPr>
        <w:br/>
      </w:r>
      <w:r w:rsidRPr="004C3224">
        <w:rPr>
          <w:rFonts w:cs="Arial"/>
          <w:color w:val="4C4C4C"/>
          <w:sz w:val="24"/>
          <w:szCs w:val="24"/>
          <w:lang w:val="en-US" w:bidi="en-US"/>
        </w:rPr>
        <w:t>211 Commerce Drive</w:t>
      </w:r>
    </w:p>
    <w:p w:rsidR="00B33902" w:rsidRPr="004C3224" w:rsidRDefault="00B33902" w:rsidP="00B33902">
      <w:pPr>
        <w:widowControl w:val="0"/>
        <w:autoSpaceDE w:val="0"/>
        <w:autoSpaceDN w:val="0"/>
        <w:adjustRightInd w:val="0"/>
        <w:spacing w:line="288" w:lineRule="auto"/>
        <w:ind w:right="-810"/>
        <w:jc w:val="right"/>
        <w:textAlignment w:val="center"/>
        <w:rPr>
          <w:rFonts w:cs="Arial"/>
          <w:color w:val="4C4C4C"/>
          <w:sz w:val="24"/>
          <w:szCs w:val="24"/>
          <w:lang w:val="en-US" w:bidi="en-US"/>
        </w:rPr>
      </w:pPr>
      <w:r w:rsidRPr="004C3224">
        <w:rPr>
          <w:rFonts w:cs="Arial"/>
          <w:color w:val="4C4C4C"/>
          <w:sz w:val="24"/>
          <w:szCs w:val="24"/>
          <w:lang w:val="en-US" w:bidi="en-US"/>
        </w:rPr>
        <w:t xml:space="preserve">Winnipeg, MB R3P 1A3, Canada </w:t>
      </w:r>
      <w:r w:rsidRPr="004C3224">
        <w:rPr>
          <w:rFonts w:cs="Arial"/>
          <w:color w:val="4C4C4C"/>
          <w:sz w:val="24"/>
          <w:szCs w:val="24"/>
          <w:lang w:val="en-US" w:bidi="en-US"/>
        </w:rPr>
        <w:br/>
        <w:t>www.mhi.ca</w:t>
      </w:r>
    </w:p>
    <w:p w:rsidR="00B33902" w:rsidRPr="004C3224" w:rsidRDefault="00B33902" w:rsidP="00B33902">
      <w:pPr>
        <w:ind w:right="-810"/>
        <w:jc w:val="right"/>
        <w:rPr>
          <w:rFonts w:cs="Arial"/>
          <w:color w:val="4C4C4C"/>
          <w:sz w:val="23"/>
          <w:szCs w:val="23"/>
          <w:lang w:val="en-US" w:bidi="en-US"/>
        </w:rPr>
      </w:pPr>
    </w:p>
    <w:p w:rsidR="00B33902" w:rsidRPr="004C3224" w:rsidRDefault="00B33902" w:rsidP="00B33902">
      <w:pPr>
        <w:widowControl w:val="0"/>
        <w:autoSpaceDE w:val="0"/>
        <w:autoSpaceDN w:val="0"/>
        <w:adjustRightInd w:val="0"/>
        <w:spacing w:line="288" w:lineRule="auto"/>
        <w:ind w:right="-810"/>
        <w:jc w:val="right"/>
        <w:textAlignment w:val="center"/>
        <w:rPr>
          <w:rFonts w:cs="Arial"/>
          <w:color w:val="4C4C4C"/>
          <w:szCs w:val="24"/>
          <w:lang w:val="en-US" w:bidi="en-US"/>
        </w:rPr>
      </w:pPr>
    </w:p>
    <w:p w:rsidR="00B33902" w:rsidRPr="004C3224" w:rsidRDefault="0056026E" w:rsidP="00B33902">
      <w:pPr>
        <w:ind w:right="-810"/>
        <w:jc w:val="right"/>
        <w:rPr>
          <w:rFonts w:cs="Arial"/>
          <w:color w:val="4C4C4C"/>
          <w:szCs w:val="24"/>
          <w:lang w:val="en-US" w:bidi="en-US"/>
        </w:rPr>
        <w:sectPr w:rsidR="00B33902" w:rsidRPr="004C3224" w:rsidSect="00516B8C">
          <w:headerReference w:type="default" r:id="rId11"/>
          <w:footerReference w:type="default" r:id="rId12"/>
          <w:type w:val="continuous"/>
          <w:pgSz w:w="12240" w:h="15840" w:code="1"/>
          <w:pgMar w:top="2160" w:right="2160" w:bottom="2160" w:left="2160" w:header="0" w:footer="346" w:gutter="0"/>
          <w:cols w:space="720"/>
        </w:sectPr>
      </w:pPr>
      <w:r>
        <w:rPr>
          <w:rFonts w:cs="Arial"/>
          <w:color w:val="4C4C4C"/>
          <w:szCs w:val="24"/>
          <w:lang w:val="en-US" w:bidi="en-US"/>
        </w:rPr>
        <w:t xml:space="preserve">March </w:t>
      </w:r>
      <w:r w:rsidR="002E4CA1" w:rsidRPr="002E4CA1">
        <w:rPr>
          <w:rFonts w:cs="Arial"/>
          <w:color w:val="4C4C4C"/>
          <w:szCs w:val="24"/>
          <w:lang w:val="en-US" w:bidi="en-US"/>
        </w:rPr>
        <w:t>2014</w:t>
      </w:r>
    </w:p>
    <w:p w:rsidR="00903635" w:rsidRPr="004C3224" w:rsidRDefault="00F87E89" w:rsidP="00A95361">
      <w:pPr>
        <w:pBdr>
          <w:bottom w:val="single" w:sz="4" w:space="1" w:color="auto"/>
        </w:pBdr>
        <w:jc w:val="both"/>
        <w:rPr>
          <w:rFonts w:cs="Arial"/>
          <w:b/>
          <w:bCs/>
          <w:smallCaps/>
          <w:sz w:val="32"/>
          <w:szCs w:val="32"/>
        </w:rPr>
      </w:pPr>
      <w:r w:rsidRPr="004C3224">
        <w:rPr>
          <w:rFonts w:cs="Arial"/>
          <w:b/>
          <w:bCs/>
          <w:smallCaps/>
          <w:sz w:val="32"/>
          <w:szCs w:val="32"/>
        </w:rPr>
        <w:lastRenderedPageBreak/>
        <w:t>Content</w:t>
      </w:r>
      <w:r w:rsidR="00D1152F">
        <w:rPr>
          <w:rFonts w:cs="Arial"/>
          <w:b/>
          <w:bCs/>
          <w:smallCaps/>
          <w:sz w:val="32"/>
          <w:szCs w:val="32"/>
        </w:rPr>
        <w:t>s</w:t>
      </w:r>
    </w:p>
    <w:p w:rsidR="0056026E" w:rsidRDefault="00CF05A0">
      <w:pPr>
        <w:pStyle w:val="TOC1"/>
        <w:rPr>
          <w:rFonts w:asciiTheme="minorHAnsi" w:hAnsiTheme="minorHAnsi" w:cstheme="minorBidi"/>
          <w:b w:val="0"/>
          <w:sz w:val="22"/>
          <w:szCs w:val="22"/>
          <w:lang w:val="en-US"/>
        </w:rPr>
      </w:pPr>
      <w:r w:rsidRPr="00CF05A0">
        <w:fldChar w:fldCharType="begin"/>
      </w:r>
      <w:r w:rsidR="00CE5115">
        <w:instrText xml:space="preserve"> TOC \o "1-4" </w:instrText>
      </w:r>
      <w:r w:rsidRPr="00CF05A0">
        <w:fldChar w:fldCharType="separate"/>
      </w:r>
      <w:r w:rsidR="0056026E" w:rsidRPr="00114FB3">
        <w:rPr>
          <w:rFonts w:asciiTheme="majorHAnsi" w:hAnsiTheme="majorHAnsi" w:cs="Arial"/>
        </w:rPr>
        <w:t>1.0</w:t>
      </w:r>
      <w:r w:rsidR="0056026E">
        <w:rPr>
          <w:rFonts w:asciiTheme="minorHAnsi" w:hAnsiTheme="minorHAnsi" w:cstheme="minorBidi"/>
          <w:b w:val="0"/>
          <w:sz w:val="22"/>
          <w:szCs w:val="22"/>
          <w:lang w:val="en-US"/>
        </w:rPr>
        <w:tab/>
      </w:r>
      <w:r w:rsidR="0056026E" w:rsidRPr="00114FB3">
        <w:rPr>
          <w:rFonts w:cs="Arial"/>
        </w:rPr>
        <w:t>Report Objectives</w:t>
      </w:r>
      <w:r w:rsidR="0056026E">
        <w:tab/>
      </w:r>
      <w:r>
        <w:fldChar w:fldCharType="begin"/>
      </w:r>
      <w:r w:rsidR="0056026E">
        <w:instrText xml:space="preserve"> PAGEREF _Toc381186740 \h </w:instrText>
      </w:r>
      <w:r>
        <w:fldChar w:fldCharType="separate"/>
      </w:r>
      <w:r w:rsidR="0056026E">
        <w:t>3</w:t>
      </w:r>
      <w:r>
        <w:fldChar w:fldCharType="end"/>
      </w:r>
    </w:p>
    <w:p w:rsidR="0056026E" w:rsidRDefault="0056026E">
      <w:pPr>
        <w:pStyle w:val="TOC1"/>
        <w:rPr>
          <w:rFonts w:asciiTheme="minorHAnsi" w:hAnsiTheme="minorHAnsi" w:cstheme="minorBidi"/>
          <w:b w:val="0"/>
          <w:sz w:val="22"/>
          <w:szCs w:val="22"/>
          <w:lang w:val="en-US"/>
        </w:rPr>
      </w:pPr>
      <w:r w:rsidRPr="00114FB3">
        <w:rPr>
          <w:rFonts w:asciiTheme="majorHAnsi" w:hAnsiTheme="majorHAnsi" w:cs="Arial"/>
          <w:lang w:val="en-GB"/>
        </w:rPr>
        <w:t>2.0</w:t>
      </w:r>
      <w:r>
        <w:rPr>
          <w:rFonts w:asciiTheme="minorHAnsi" w:hAnsiTheme="minorHAnsi" w:cstheme="minorBidi"/>
          <w:b w:val="0"/>
          <w:sz w:val="22"/>
          <w:szCs w:val="22"/>
          <w:lang w:val="en-US"/>
        </w:rPr>
        <w:tab/>
      </w:r>
      <w:r w:rsidRPr="00114FB3">
        <w:rPr>
          <w:rFonts w:cs="Arial"/>
          <w:lang w:val="en-GB"/>
        </w:rPr>
        <w:t>Transmission Planning Study for 10 GW System</w:t>
      </w:r>
      <w:r>
        <w:tab/>
      </w:r>
      <w:r w:rsidR="00CF05A0">
        <w:fldChar w:fldCharType="begin"/>
      </w:r>
      <w:r>
        <w:instrText xml:space="preserve"> PAGEREF _Toc381186741 \h </w:instrText>
      </w:r>
      <w:r w:rsidR="00CF05A0">
        <w:fldChar w:fldCharType="separate"/>
      </w:r>
      <w:r>
        <w:t>4</w:t>
      </w:r>
      <w:r w:rsidR="00CF05A0">
        <w:fldChar w:fldCharType="end"/>
      </w:r>
    </w:p>
    <w:p w:rsidR="0056026E" w:rsidRDefault="0056026E">
      <w:pPr>
        <w:pStyle w:val="TOC2"/>
        <w:rPr>
          <w:rFonts w:asciiTheme="minorHAnsi" w:hAnsiTheme="minorHAnsi" w:cstheme="minorBidi"/>
          <w:noProof/>
          <w:sz w:val="22"/>
          <w:szCs w:val="22"/>
          <w:lang w:val="en-US"/>
        </w:rPr>
      </w:pPr>
      <w:r w:rsidRPr="00114FB3">
        <w:rPr>
          <w:noProof/>
          <w:color w:val="000000" w:themeColor="text1"/>
        </w:rPr>
        <w:t>2.1.</w:t>
      </w:r>
      <w:r>
        <w:rPr>
          <w:rFonts w:asciiTheme="minorHAnsi" w:hAnsiTheme="minorHAnsi" w:cstheme="minorBidi"/>
          <w:noProof/>
          <w:sz w:val="22"/>
          <w:szCs w:val="22"/>
          <w:lang w:val="en-US"/>
        </w:rPr>
        <w:tab/>
      </w:r>
      <w:r>
        <w:rPr>
          <w:noProof/>
        </w:rPr>
        <w:t>Introduction</w:t>
      </w:r>
      <w:r>
        <w:rPr>
          <w:noProof/>
        </w:rPr>
        <w:tab/>
      </w:r>
      <w:r w:rsidR="00CF05A0">
        <w:rPr>
          <w:noProof/>
        </w:rPr>
        <w:fldChar w:fldCharType="begin"/>
      </w:r>
      <w:r>
        <w:rPr>
          <w:noProof/>
        </w:rPr>
        <w:instrText xml:space="preserve"> PAGEREF _Toc381186742 \h </w:instrText>
      </w:r>
      <w:r w:rsidR="00CF05A0">
        <w:rPr>
          <w:noProof/>
        </w:rPr>
      </w:r>
      <w:r w:rsidR="00CF05A0">
        <w:rPr>
          <w:noProof/>
        </w:rPr>
        <w:fldChar w:fldCharType="separate"/>
      </w:r>
      <w:r>
        <w:rPr>
          <w:noProof/>
        </w:rPr>
        <w:t>4</w:t>
      </w:r>
      <w:r w:rsidR="00CF05A0">
        <w:rPr>
          <w:noProof/>
        </w:rPr>
        <w:fldChar w:fldCharType="end"/>
      </w:r>
    </w:p>
    <w:p w:rsidR="0056026E" w:rsidRDefault="0056026E">
      <w:pPr>
        <w:pStyle w:val="TOC2"/>
        <w:rPr>
          <w:rFonts w:asciiTheme="minorHAnsi" w:hAnsiTheme="minorHAnsi" w:cstheme="minorBidi"/>
          <w:noProof/>
          <w:sz w:val="22"/>
          <w:szCs w:val="22"/>
          <w:lang w:val="en-US"/>
        </w:rPr>
      </w:pPr>
      <w:r w:rsidRPr="00114FB3">
        <w:rPr>
          <w:noProof/>
          <w:color w:val="000000" w:themeColor="text1"/>
        </w:rPr>
        <w:t>2.2.</w:t>
      </w:r>
      <w:r>
        <w:rPr>
          <w:rFonts w:asciiTheme="minorHAnsi" w:hAnsiTheme="minorHAnsi" w:cstheme="minorBidi"/>
          <w:noProof/>
          <w:sz w:val="22"/>
          <w:szCs w:val="22"/>
          <w:lang w:val="en-US"/>
        </w:rPr>
        <w:tab/>
      </w:r>
      <w:r>
        <w:rPr>
          <w:noProof/>
        </w:rPr>
        <w:t>Executive Summary of MHI Transmission Development Plan Report</w:t>
      </w:r>
      <w:r>
        <w:rPr>
          <w:noProof/>
        </w:rPr>
        <w:tab/>
      </w:r>
      <w:r w:rsidR="00CF05A0">
        <w:rPr>
          <w:noProof/>
        </w:rPr>
        <w:fldChar w:fldCharType="begin"/>
      </w:r>
      <w:r>
        <w:rPr>
          <w:noProof/>
        </w:rPr>
        <w:instrText xml:space="preserve"> PAGEREF _Toc381186743 \h </w:instrText>
      </w:r>
      <w:r w:rsidR="00CF05A0">
        <w:rPr>
          <w:noProof/>
        </w:rPr>
      </w:r>
      <w:r w:rsidR="00CF05A0">
        <w:rPr>
          <w:noProof/>
        </w:rPr>
        <w:fldChar w:fldCharType="separate"/>
      </w:r>
      <w:r>
        <w:rPr>
          <w:noProof/>
        </w:rPr>
        <w:t>4</w:t>
      </w:r>
      <w:r w:rsidR="00CF05A0">
        <w:rPr>
          <w:noProof/>
        </w:rPr>
        <w:fldChar w:fldCharType="end"/>
      </w:r>
    </w:p>
    <w:p w:rsidR="0056026E" w:rsidRDefault="0056026E">
      <w:pPr>
        <w:pStyle w:val="TOC1"/>
        <w:rPr>
          <w:rFonts w:asciiTheme="minorHAnsi" w:hAnsiTheme="minorHAnsi" w:cstheme="minorBidi"/>
          <w:b w:val="0"/>
          <w:sz w:val="22"/>
          <w:szCs w:val="22"/>
          <w:lang w:val="en-US"/>
        </w:rPr>
      </w:pPr>
      <w:r w:rsidRPr="00114FB3">
        <w:rPr>
          <w:rFonts w:asciiTheme="majorHAnsi" w:hAnsiTheme="majorHAnsi" w:cs="Arial"/>
          <w:lang w:val="en-GB"/>
        </w:rPr>
        <w:t>3.0</w:t>
      </w:r>
      <w:r>
        <w:rPr>
          <w:rFonts w:asciiTheme="minorHAnsi" w:hAnsiTheme="minorHAnsi" w:cstheme="minorBidi"/>
          <w:b w:val="0"/>
          <w:sz w:val="22"/>
          <w:szCs w:val="22"/>
          <w:lang w:val="en-US"/>
        </w:rPr>
        <w:tab/>
      </w:r>
      <w:r w:rsidRPr="00114FB3">
        <w:rPr>
          <w:rFonts w:cs="Arial"/>
          <w:lang w:val="en-GB"/>
        </w:rPr>
        <w:t>Transmission Development Plan</w:t>
      </w:r>
      <w:r>
        <w:tab/>
      </w:r>
      <w:r w:rsidR="00CF05A0">
        <w:fldChar w:fldCharType="begin"/>
      </w:r>
      <w:r>
        <w:instrText xml:space="preserve"> PAGEREF _Toc381186744 \h </w:instrText>
      </w:r>
      <w:r w:rsidR="00CF05A0">
        <w:fldChar w:fldCharType="separate"/>
      </w:r>
      <w:r>
        <w:t>7</w:t>
      </w:r>
      <w:r w:rsidR="00CF05A0">
        <w:fldChar w:fldCharType="end"/>
      </w:r>
    </w:p>
    <w:p w:rsidR="0056026E" w:rsidRDefault="0056026E">
      <w:pPr>
        <w:pStyle w:val="TOC2"/>
        <w:rPr>
          <w:rFonts w:asciiTheme="minorHAnsi" w:hAnsiTheme="minorHAnsi" w:cstheme="minorBidi"/>
          <w:noProof/>
          <w:sz w:val="22"/>
          <w:szCs w:val="22"/>
          <w:lang w:val="en-US"/>
        </w:rPr>
      </w:pPr>
      <w:r w:rsidRPr="00114FB3">
        <w:rPr>
          <w:noProof/>
          <w:color w:val="000000" w:themeColor="text1"/>
        </w:rPr>
        <w:t>3.1.</w:t>
      </w:r>
      <w:r>
        <w:rPr>
          <w:rFonts w:asciiTheme="minorHAnsi" w:hAnsiTheme="minorHAnsi" w:cstheme="minorBidi"/>
          <w:noProof/>
          <w:sz w:val="22"/>
          <w:szCs w:val="22"/>
          <w:lang w:val="en-US"/>
        </w:rPr>
        <w:tab/>
      </w:r>
      <w:r>
        <w:rPr>
          <w:noProof/>
        </w:rPr>
        <w:t>Rehabilitation of Existing Facilities</w:t>
      </w:r>
      <w:r>
        <w:rPr>
          <w:noProof/>
        </w:rPr>
        <w:tab/>
      </w:r>
      <w:r w:rsidR="00CF05A0">
        <w:rPr>
          <w:noProof/>
        </w:rPr>
        <w:fldChar w:fldCharType="begin"/>
      </w:r>
      <w:r>
        <w:rPr>
          <w:noProof/>
        </w:rPr>
        <w:instrText xml:space="preserve"> PAGEREF _Toc381186745 \h </w:instrText>
      </w:r>
      <w:r w:rsidR="00CF05A0">
        <w:rPr>
          <w:noProof/>
        </w:rPr>
      </w:r>
      <w:r w:rsidR="00CF05A0">
        <w:rPr>
          <w:noProof/>
        </w:rPr>
        <w:fldChar w:fldCharType="separate"/>
      </w:r>
      <w:r>
        <w:rPr>
          <w:noProof/>
        </w:rPr>
        <w:t>7</w:t>
      </w:r>
      <w:r w:rsidR="00CF05A0">
        <w:rPr>
          <w:noProof/>
        </w:rPr>
        <w:fldChar w:fldCharType="end"/>
      </w:r>
    </w:p>
    <w:p w:rsidR="0056026E" w:rsidRDefault="0056026E">
      <w:pPr>
        <w:pStyle w:val="TOC2"/>
        <w:rPr>
          <w:rFonts w:asciiTheme="minorHAnsi" w:hAnsiTheme="minorHAnsi" w:cstheme="minorBidi"/>
          <w:noProof/>
          <w:sz w:val="22"/>
          <w:szCs w:val="22"/>
          <w:lang w:val="en-US"/>
        </w:rPr>
      </w:pPr>
      <w:r w:rsidRPr="00114FB3">
        <w:rPr>
          <w:noProof/>
          <w:color w:val="000000" w:themeColor="text1"/>
        </w:rPr>
        <w:t>3.2.</w:t>
      </w:r>
      <w:r>
        <w:rPr>
          <w:rFonts w:asciiTheme="minorHAnsi" w:hAnsiTheme="minorHAnsi" w:cstheme="minorBidi"/>
          <w:noProof/>
          <w:sz w:val="22"/>
          <w:szCs w:val="22"/>
          <w:lang w:val="en-US"/>
        </w:rPr>
        <w:tab/>
      </w:r>
      <w:r>
        <w:rPr>
          <w:noProof/>
        </w:rPr>
        <w:t>Financing Package 1 – Ongoing Projects that Need Incremental Funding</w:t>
      </w:r>
      <w:r>
        <w:rPr>
          <w:noProof/>
        </w:rPr>
        <w:tab/>
      </w:r>
      <w:r w:rsidR="00CF05A0">
        <w:rPr>
          <w:noProof/>
        </w:rPr>
        <w:fldChar w:fldCharType="begin"/>
      </w:r>
      <w:r>
        <w:rPr>
          <w:noProof/>
        </w:rPr>
        <w:instrText xml:space="preserve"> PAGEREF _Toc381186746 \h </w:instrText>
      </w:r>
      <w:r w:rsidR="00CF05A0">
        <w:rPr>
          <w:noProof/>
        </w:rPr>
      </w:r>
      <w:r w:rsidR="00CF05A0">
        <w:rPr>
          <w:noProof/>
        </w:rPr>
        <w:fldChar w:fldCharType="separate"/>
      </w:r>
      <w:r>
        <w:rPr>
          <w:noProof/>
        </w:rPr>
        <w:t>8</w:t>
      </w:r>
      <w:r w:rsidR="00CF05A0">
        <w:rPr>
          <w:noProof/>
        </w:rPr>
        <w:fldChar w:fldCharType="end"/>
      </w:r>
    </w:p>
    <w:p w:rsidR="0056026E" w:rsidRDefault="0056026E">
      <w:pPr>
        <w:pStyle w:val="TOC2"/>
        <w:rPr>
          <w:rFonts w:asciiTheme="minorHAnsi" w:hAnsiTheme="minorHAnsi" w:cstheme="minorBidi"/>
          <w:noProof/>
          <w:sz w:val="22"/>
          <w:szCs w:val="22"/>
          <w:lang w:val="en-US"/>
        </w:rPr>
      </w:pPr>
      <w:r w:rsidRPr="00114FB3">
        <w:rPr>
          <w:noProof/>
          <w:color w:val="000000" w:themeColor="text1"/>
        </w:rPr>
        <w:t>3.3.</w:t>
      </w:r>
      <w:r>
        <w:rPr>
          <w:rFonts w:asciiTheme="minorHAnsi" w:hAnsiTheme="minorHAnsi" w:cstheme="minorBidi"/>
          <w:noProof/>
          <w:sz w:val="22"/>
          <w:szCs w:val="22"/>
          <w:lang w:val="en-US"/>
        </w:rPr>
        <w:tab/>
      </w:r>
      <w:r>
        <w:rPr>
          <w:noProof/>
        </w:rPr>
        <w:t>Financing Package 2 – New Projects for 10 GW System</w:t>
      </w:r>
      <w:r>
        <w:rPr>
          <w:noProof/>
        </w:rPr>
        <w:tab/>
      </w:r>
      <w:r w:rsidR="00CF05A0">
        <w:rPr>
          <w:noProof/>
        </w:rPr>
        <w:fldChar w:fldCharType="begin"/>
      </w:r>
      <w:r>
        <w:rPr>
          <w:noProof/>
        </w:rPr>
        <w:instrText xml:space="preserve"> PAGEREF _Toc381186747 \h </w:instrText>
      </w:r>
      <w:r w:rsidR="00CF05A0">
        <w:rPr>
          <w:noProof/>
        </w:rPr>
      </w:r>
      <w:r w:rsidR="00CF05A0">
        <w:rPr>
          <w:noProof/>
        </w:rPr>
        <w:fldChar w:fldCharType="separate"/>
      </w:r>
      <w:r>
        <w:rPr>
          <w:noProof/>
        </w:rPr>
        <w:t>9</w:t>
      </w:r>
      <w:r w:rsidR="00CF05A0">
        <w:rPr>
          <w:noProof/>
        </w:rPr>
        <w:fldChar w:fldCharType="end"/>
      </w:r>
    </w:p>
    <w:p w:rsidR="0056026E" w:rsidRDefault="0056026E">
      <w:pPr>
        <w:pStyle w:val="TOC2"/>
        <w:rPr>
          <w:rFonts w:asciiTheme="minorHAnsi" w:hAnsiTheme="minorHAnsi" w:cstheme="minorBidi"/>
          <w:noProof/>
          <w:sz w:val="22"/>
          <w:szCs w:val="22"/>
          <w:lang w:val="en-US"/>
        </w:rPr>
      </w:pPr>
      <w:r w:rsidRPr="00114FB3">
        <w:rPr>
          <w:noProof/>
          <w:color w:val="000000" w:themeColor="text1"/>
        </w:rPr>
        <w:t>3.4.</w:t>
      </w:r>
      <w:r>
        <w:rPr>
          <w:rFonts w:asciiTheme="minorHAnsi" w:hAnsiTheme="minorHAnsi" w:cstheme="minorBidi"/>
          <w:noProof/>
          <w:sz w:val="22"/>
          <w:szCs w:val="22"/>
          <w:lang w:val="en-US"/>
        </w:rPr>
        <w:tab/>
      </w:r>
      <w:r>
        <w:rPr>
          <w:noProof/>
        </w:rPr>
        <w:t>Financing Packages 3-5 – Incremental Projects to Increase from10-20 GW</w:t>
      </w:r>
      <w:r>
        <w:rPr>
          <w:noProof/>
        </w:rPr>
        <w:tab/>
      </w:r>
      <w:r w:rsidR="00CF05A0">
        <w:rPr>
          <w:noProof/>
        </w:rPr>
        <w:fldChar w:fldCharType="begin"/>
      </w:r>
      <w:r>
        <w:rPr>
          <w:noProof/>
        </w:rPr>
        <w:instrText xml:space="preserve"> PAGEREF _Toc381186748 \h </w:instrText>
      </w:r>
      <w:r w:rsidR="00CF05A0">
        <w:rPr>
          <w:noProof/>
        </w:rPr>
      </w:r>
      <w:r w:rsidR="00CF05A0">
        <w:rPr>
          <w:noProof/>
        </w:rPr>
        <w:fldChar w:fldCharType="separate"/>
      </w:r>
      <w:r>
        <w:rPr>
          <w:noProof/>
        </w:rPr>
        <w:t>9</w:t>
      </w:r>
      <w:r w:rsidR="00CF05A0">
        <w:rPr>
          <w:noProof/>
        </w:rPr>
        <w:fldChar w:fldCharType="end"/>
      </w:r>
    </w:p>
    <w:p w:rsidR="0056026E" w:rsidRDefault="0056026E">
      <w:pPr>
        <w:pStyle w:val="TOC2"/>
        <w:rPr>
          <w:rFonts w:asciiTheme="minorHAnsi" w:hAnsiTheme="minorHAnsi" w:cstheme="minorBidi"/>
          <w:noProof/>
          <w:sz w:val="22"/>
          <w:szCs w:val="22"/>
          <w:lang w:val="en-US"/>
        </w:rPr>
      </w:pPr>
      <w:r w:rsidRPr="00114FB3">
        <w:rPr>
          <w:noProof/>
          <w:color w:val="000000" w:themeColor="text1"/>
        </w:rPr>
        <w:t>3.5.</w:t>
      </w:r>
      <w:r>
        <w:rPr>
          <w:rFonts w:asciiTheme="minorHAnsi" w:hAnsiTheme="minorHAnsi" w:cstheme="minorBidi"/>
          <w:noProof/>
          <w:sz w:val="22"/>
          <w:szCs w:val="22"/>
          <w:lang w:val="en-US"/>
        </w:rPr>
        <w:tab/>
      </w:r>
      <w:r>
        <w:rPr>
          <w:noProof/>
        </w:rPr>
        <w:t>Summary of Transmission Project Capital Funding Requirements</w:t>
      </w:r>
      <w:r>
        <w:rPr>
          <w:noProof/>
        </w:rPr>
        <w:tab/>
      </w:r>
      <w:r w:rsidR="00CF05A0">
        <w:rPr>
          <w:noProof/>
        </w:rPr>
        <w:fldChar w:fldCharType="begin"/>
      </w:r>
      <w:r>
        <w:rPr>
          <w:noProof/>
        </w:rPr>
        <w:instrText xml:space="preserve"> PAGEREF _Toc381186749 \h </w:instrText>
      </w:r>
      <w:r w:rsidR="00CF05A0">
        <w:rPr>
          <w:noProof/>
        </w:rPr>
      </w:r>
      <w:r w:rsidR="00CF05A0">
        <w:rPr>
          <w:noProof/>
        </w:rPr>
        <w:fldChar w:fldCharType="separate"/>
      </w:r>
      <w:r>
        <w:rPr>
          <w:noProof/>
        </w:rPr>
        <w:t>10</w:t>
      </w:r>
      <w:r w:rsidR="00CF05A0">
        <w:rPr>
          <w:noProof/>
        </w:rPr>
        <w:fldChar w:fldCharType="end"/>
      </w:r>
    </w:p>
    <w:p w:rsidR="0056026E" w:rsidRDefault="0056026E">
      <w:pPr>
        <w:pStyle w:val="TOC4"/>
        <w:rPr>
          <w:rFonts w:asciiTheme="minorHAnsi" w:hAnsiTheme="minorHAnsi" w:cstheme="minorBidi"/>
          <w:b w:val="0"/>
          <w:sz w:val="22"/>
          <w:szCs w:val="22"/>
          <w:lang w:val="en-US"/>
        </w:rPr>
      </w:pPr>
      <w:r>
        <w:t>Appendix A</w:t>
      </w:r>
      <w:r>
        <w:rPr>
          <w:rFonts w:asciiTheme="minorHAnsi" w:hAnsiTheme="minorHAnsi" w:cstheme="minorBidi"/>
          <w:b w:val="0"/>
          <w:sz w:val="22"/>
          <w:szCs w:val="22"/>
          <w:lang w:val="en-US"/>
        </w:rPr>
        <w:tab/>
      </w:r>
      <w:r>
        <w:t>MHI/TCN 10 GW PSSE Based System Study and Report</w:t>
      </w:r>
      <w:r>
        <w:tab/>
      </w:r>
      <w:r w:rsidR="00CF05A0">
        <w:fldChar w:fldCharType="begin"/>
      </w:r>
      <w:r>
        <w:instrText xml:space="preserve"> PAGEREF _Toc381186750 \h </w:instrText>
      </w:r>
      <w:r w:rsidR="00CF05A0">
        <w:fldChar w:fldCharType="separate"/>
      </w:r>
      <w:r>
        <w:t>A-1</w:t>
      </w:r>
      <w:r w:rsidR="00CF05A0">
        <w:fldChar w:fldCharType="end"/>
      </w:r>
    </w:p>
    <w:p w:rsidR="0056026E" w:rsidRDefault="0056026E">
      <w:pPr>
        <w:pStyle w:val="TOC4"/>
        <w:rPr>
          <w:rFonts w:asciiTheme="minorHAnsi" w:hAnsiTheme="minorHAnsi" w:cstheme="minorBidi"/>
          <w:b w:val="0"/>
          <w:sz w:val="22"/>
          <w:szCs w:val="22"/>
          <w:lang w:val="en-US"/>
        </w:rPr>
      </w:pPr>
      <w:r>
        <w:t>Appendix B</w:t>
      </w:r>
      <w:r>
        <w:rPr>
          <w:rFonts w:asciiTheme="minorHAnsi" w:hAnsiTheme="minorHAnsi" w:cstheme="minorBidi"/>
          <w:b w:val="0"/>
          <w:sz w:val="22"/>
          <w:szCs w:val="22"/>
          <w:lang w:val="en-US"/>
        </w:rPr>
        <w:tab/>
      </w:r>
      <w:r>
        <w:t>Financing Package 1 – Ongoing Projects Needing Incremental Funding</w:t>
      </w:r>
      <w:r>
        <w:tab/>
      </w:r>
      <w:r w:rsidR="00CF05A0">
        <w:fldChar w:fldCharType="begin"/>
      </w:r>
      <w:r>
        <w:instrText xml:space="preserve"> PAGEREF _Toc381186751 \h </w:instrText>
      </w:r>
      <w:r w:rsidR="00CF05A0">
        <w:fldChar w:fldCharType="separate"/>
      </w:r>
      <w:r>
        <w:t>B-1</w:t>
      </w:r>
      <w:r w:rsidR="00CF05A0">
        <w:fldChar w:fldCharType="end"/>
      </w:r>
    </w:p>
    <w:p w:rsidR="0056026E" w:rsidRDefault="0056026E">
      <w:pPr>
        <w:pStyle w:val="TOC4"/>
        <w:rPr>
          <w:rFonts w:asciiTheme="minorHAnsi" w:hAnsiTheme="minorHAnsi" w:cstheme="minorBidi"/>
          <w:b w:val="0"/>
          <w:sz w:val="22"/>
          <w:szCs w:val="22"/>
          <w:lang w:val="en-US"/>
        </w:rPr>
      </w:pPr>
      <w:r>
        <w:t>Appendix C</w:t>
      </w:r>
      <w:r>
        <w:rPr>
          <w:rFonts w:asciiTheme="minorHAnsi" w:hAnsiTheme="minorHAnsi" w:cstheme="minorBidi"/>
          <w:b w:val="0"/>
          <w:sz w:val="22"/>
          <w:szCs w:val="22"/>
          <w:lang w:val="en-US"/>
        </w:rPr>
        <w:tab/>
      </w:r>
      <w:r>
        <w:t>Financing Package 2 – New Projects for 10 GW System</w:t>
      </w:r>
      <w:r>
        <w:tab/>
      </w:r>
      <w:r w:rsidR="00CF05A0">
        <w:fldChar w:fldCharType="begin"/>
      </w:r>
      <w:r>
        <w:instrText xml:space="preserve"> PAGEREF _Toc381186752 \h </w:instrText>
      </w:r>
      <w:r w:rsidR="00CF05A0">
        <w:fldChar w:fldCharType="separate"/>
      </w:r>
      <w:r>
        <w:t>C-1</w:t>
      </w:r>
      <w:r w:rsidR="00CF05A0">
        <w:fldChar w:fldCharType="end"/>
      </w:r>
    </w:p>
    <w:p w:rsidR="0056026E" w:rsidRDefault="0056026E">
      <w:pPr>
        <w:pStyle w:val="TOC4"/>
        <w:rPr>
          <w:rFonts w:asciiTheme="minorHAnsi" w:hAnsiTheme="minorHAnsi" w:cstheme="minorBidi"/>
          <w:b w:val="0"/>
          <w:sz w:val="22"/>
          <w:szCs w:val="22"/>
          <w:lang w:val="en-US"/>
        </w:rPr>
      </w:pPr>
      <w:r>
        <w:t>Appendix D</w:t>
      </w:r>
      <w:r>
        <w:rPr>
          <w:rFonts w:asciiTheme="minorHAnsi" w:hAnsiTheme="minorHAnsi" w:cstheme="minorBidi"/>
          <w:b w:val="0"/>
          <w:sz w:val="22"/>
          <w:szCs w:val="22"/>
          <w:lang w:val="en-US"/>
        </w:rPr>
        <w:tab/>
      </w:r>
      <w:r>
        <w:t>Financing Package 3 – Incremental Projects for 13 GW System</w:t>
      </w:r>
      <w:r>
        <w:tab/>
      </w:r>
      <w:r w:rsidR="00CF05A0">
        <w:fldChar w:fldCharType="begin"/>
      </w:r>
      <w:r>
        <w:instrText xml:space="preserve"> PAGEREF _Toc381186753 \h </w:instrText>
      </w:r>
      <w:r w:rsidR="00CF05A0">
        <w:fldChar w:fldCharType="separate"/>
      </w:r>
      <w:r>
        <w:t>D-1</w:t>
      </w:r>
      <w:r w:rsidR="00CF05A0">
        <w:fldChar w:fldCharType="end"/>
      </w:r>
    </w:p>
    <w:p w:rsidR="0056026E" w:rsidRDefault="0056026E">
      <w:pPr>
        <w:pStyle w:val="TOC4"/>
        <w:rPr>
          <w:rFonts w:asciiTheme="minorHAnsi" w:hAnsiTheme="minorHAnsi" w:cstheme="minorBidi"/>
          <w:b w:val="0"/>
          <w:sz w:val="22"/>
          <w:szCs w:val="22"/>
          <w:lang w:val="en-US"/>
        </w:rPr>
      </w:pPr>
      <w:r>
        <w:t>Appendix E</w:t>
      </w:r>
      <w:r>
        <w:rPr>
          <w:rFonts w:asciiTheme="minorHAnsi" w:hAnsiTheme="minorHAnsi" w:cstheme="minorBidi"/>
          <w:b w:val="0"/>
          <w:sz w:val="22"/>
          <w:szCs w:val="22"/>
          <w:lang w:val="en-US"/>
        </w:rPr>
        <w:tab/>
      </w:r>
      <w:r>
        <w:t>Financing Package 4 – Incremental Projects for 16 GW System</w:t>
      </w:r>
      <w:r>
        <w:tab/>
      </w:r>
      <w:r w:rsidR="00CF05A0">
        <w:fldChar w:fldCharType="begin"/>
      </w:r>
      <w:r>
        <w:instrText xml:space="preserve"> PAGEREF _Toc381186754 \h </w:instrText>
      </w:r>
      <w:r w:rsidR="00CF05A0">
        <w:fldChar w:fldCharType="separate"/>
      </w:r>
      <w:r>
        <w:t>E-1</w:t>
      </w:r>
      <w:r w:rsidR="00CF05A0">
        <w:fldChar w:fldCharType="end"/>
      </w:r>
    </w:p>
    <w:p w:rsidR="0056026E" w:rsidRDefault="0056026E">
      <w:pPr>
        <w:pStyle w:val="TOC4"/>
        <w:rPr>
          <w:rFonts w:asciiTheme="minorHAnsi" w:hAnsiTheme="minorHAnsi" w:cstheme="minorBidi"/>
          <w:b w:val="0"/>
          <w:sz w:val="22"/>
          <w:szCs w:val="22"/>
          <w:lang w:val="en-US"/>
        </w:rPr>
      </w:pPr>
      <w:r>
        <w:t>Appendix F</w:t>
      </w:r>
      <w:r>
        <w:rPr>
          <w:rFonts w:asciiTheme="minorHAnsi" w:hAnsiTheme="minorHAnsi" w:cstheme="minorBidi"/>
          <w:b w:val="0"/>
          <w:sz w:val="22"/>
          <w:szCs w:val="22"/>
          <w:lang w:val="en-US"/>
        </w:rPr>
        <w:tab/>
      </w:r>
      <w:r>
        <w:t>Financing Package 5 – Incremental Projects for 20 GW System</w:t>
      </w:r>
      <w:r>
        <w:tab/>
      </w:r>
      <w:r w:rsidR="00CF05A0">
        <w:fldChar w:fldCharType="begin"/>
      </w:r>
      <w:r>
        <w:instrText xml:space="preserve"> PAGEREF _Toc381186755 \h </w:instrText>
      </w:r>
      <w:r w:rsidR="00CF05A0">
        <w:fldChar w:fldCharType="separate"/>
      </w:r>
      <w:r>
        <w:t>F-1</w:t>
      </w:r>
      <w:r w:rsidR="00CF05A0">
        <w:fldChar w:fldCharType="end"/>
      </w:r>
    </w:p>
    <w:p w:rsidR="0056026E" w:rsidRDefault="0056026E">
      <w:pPr>
        <w:pStyle w:val="TOC4"/>
        <w:rPr>
          <w:rFonts w:asciiTheme="minorHAnsi" w:hAnsiTheme="minorHAnsi" w:cstheme="minorBidi"/>
          <w:b w:val="0"/>
          <w:sz w:val="22"/>
          <w:szCs w:val="22"/>
          <w:lang w:val="en-US"/>
        </w:rPr>
      </w:pPr>
      <w:r>
        <w:t>Appendix G</w:t>
      </w:r>
      <w:r>
        <w:rPr>
          <w:rFonts w:asciiTheme="minorHAnsi" w:hAnsiTheme="minorHAnsi" w:cstheme="minorBidi"/>
          <w:b w:val="0"/>
          <w:sz w:val="22"/>
          <w:szCs w:val="22"/>
          <w:lang w:val="en-US"/>
        </w:rPr>
        <w:tab/>
      </w:r>
      <w:r>
        <w:t>NIAF Assumptions for Project Cost Estimates</w:t>
      </w:r>
      <w:r>
        <w:tab/>
      </w:r>
      <w:r w:rsidR="00CF05A0">
        <w:fldChar w:fldCharType="begin"/>
      </w:r>
      <w:r>
        <w:instrText xml:space="preserve"> PAGEREF _Toc381186756 \h </w:instrText>
      </w:r>
      <w:r w:rsidR="00CF05A0">
        <w:fldChar w:fldCharType="separate"/>
      </w:r>
      <w:r>
        <w:t>G-1</w:t>
      </w:r>
      <w:r w:rsidR="00CF05A0">
        <w:fldChar w:fldCharType="end"/>
      </w:r>
    </w:p>
    <w:p w:rsidR="00FD67D0" w:rsidRDefault="00CF05A0" w:rsidP="00A95361">
      <w:pPr>
        <w:tabs>
          <w:tab w:val="left" w:pos="1080"/>
          <w:tab w:val="right" w:leader="dot" w:pos="8640"/>
        </w:tabs>
        <w:jc w:val="both"/>
        <w:rPr>
          <w:rFonts w:cs="Arial"/>
          <w:b/>
        </w:rPr>
      </w:pPr>
      <w:r>
        <w:rPr>
          <w:rFonts w:cs="Arial"/>
          <w:b/>
        </w:rPr>
        <w:fldChar w:fldCharType="end"/>
      </w:r>
    </w:p>
    <w:p w:rsidR="004B49AB" w:rsidRPr="004C3224" w:rsidRDefault="004B49AB" w:rsidP="00A95361">
      <w:pPr>
        <w:tabs>
          <w:tab w:val="left" w:pos="1080"/>
          <w:tab w:val="right" w:leader="dot" w:pos="8640"/>
        </w:tabs>
        <w:jc w:val="both"/>
        <w:rPr>
          <w:rFonts w:cs="Arial"/>
          <w:b/>
        </w:rPr>
      </w:pPr>
    </w:p>
    <w:p w:rsidR="00831224" w:rsidRDefault="00831224" w:rsidP="002346D9">
      <w:pPr>
        <w:tabs>
          <w:tab w:val="left" w:pos="1080"/>
          <w:tab w:val="right" w:leader="dot" w:pos="8640"/>
        </w:tabs>
        <w:jc w:val="both"/>
        <w:rPr>
          <w:rFonts w:cs="Arial"/>
          <w:b/>
        </w:rPr>
      </w:pPr>
    </w:p>
    <w:p w:rsidR="00172B56" w:rsidRDefault="00172B56" w:rsidP="00376749">
      <w:pPr>
        <w:pStyle w:val="Heading1"/>
        <w:rPr>
          <w:rFonts w:cs="Arial"/>
        </w:rPr>
        <w:sectPr w:rsidR="00172B56" w:rsidSect="00242760">
          <w:headerReference w:type="default" r:id="rId13"/>
          <w:footerReference w:type="default" r:id="rId14"/>
          <w:pgSz w:w="12240" w:h="15840"/>
          <w:pgMar w:top="1701" w:right="1608" w:bottom="1440" w:left="1560" w:header="576" w:footer="125" w:gutter="0"/>
          <w:cols w:space="708"/>
          <w:docGrid w:linePitch="360"/>
        </w:sectPr>
      </w:pPr>
    </w:p>
    <w:p w:rsidR="00F5721D" w:rsidRPr="004C3224" w:rsidRDefault="006133B5" w:rsidP="00376749">
      <w:pPr>
        <w:pStyle w:val="Heading1"/>
        <w:rPr>
          <w:rFonts w:cs="Arial"/>
        </w:rPr>
      </w:pPr>
      <w:bookmarkStart w:id="0" w:name="_Toc381186740"/>
      <w:r>
        <w:rPr>
          <w:rFonts w:cs="Arial"/>
        </w:rPr>
        <w:lastRenderedPageBreak/>
        <w:t>Report Objective</w:t>
      </w:r>
      <w:r w:rsidR="00183C56">
        <w:rPr>
          <w:rFonts w:cs="Arial"/>
        </w:rPr>
        <w:t>s</w:t>
      </w:r>
      <w:bookmarkEnd w:id="0"/>
    </w:p>
    <w:p w:rsidR="000942AC" w:rsidRPr="000942AC" w:rsidRDefault="000942AC" w:rsidP="000942AC">
      <w:pPr>
        <w:rPr>
          <w:lang w:val="en-GB"/>
        </w:rPr>
      </w:pPr>
      <w:r w:rsidRPr="000942AC">
        <w:rPr>
          <w:lang w:val="en-GB"/>
        </w:rPr>
        <w:t>The objective</w:t>
      </w:r>
      <w:r w:rsidR="00AF4CA8">
        <w:rPr>
          <w:lang w:val="en-GB"/>
        </w:rPr>
        <w:t>s</w:t>
      </w:r>
      <w:r w:rsidRPr="000942AC">
        <w:rPr>
          <w:lang w:val="en-GB"/>
        </w:rPr>
        <w:t xml:space="preserve"> of this report </w:t>
      </w:r>
      <w:r w:rsidR="00AF4CA8">
        <w:rPr>
          <w:lang w:val="en-GB"/>
        </w:rPr>
        <w:t>are</w:t>
      </w:r>
      <w:r w:rsidRPr="000942AC">
        <w:rPr>
          <w:lang w:val="en-GB"/>
        </w:rPr>
        <w:t xml:space="preserve"> to summarise TCN’s Transmission System Development Plan and associated capital funding requirements, as approved by the Supervisory Board in February 2014.  If properly funded, this plan will improve the overall security and quality of supply of electricity, and ensure that the system can efficiently evacuate unrestricted power from the generators to the distribution companies and large industrial and commercial users.  </w:t>
      </w:r>
    </w:p>
    <w:p w:rsidR="000942AC" w:rsidRDefault="000942AC" w:rsidP="000942AC">
      <w:pPr>
        <w:spacing w:line="276" w:lineRule="auto"/>
        <w:rPr>
          <w:rFonts w:cs="Arial"/>
          <w:lang w:val="en-GB"/>
        </w:rPr>
      </w:pPr>
    </w:p>
    <w:p w:rsidR="000942AC" w:rsidRPr="000942AC" w:rsidRDefault="000942AC" w:rsidP="000942AC">
      <w:pPr>
        <w:spacing w:line="276" w:lineRule="auto"/>
        <w:rPr>
          <w:rFonts w:cs="Arial"/>
          <w:lang w:val="en-GB"/>
        </w:rPr>
      </w:pPr>
      <w:r w:rsidRPr="000942AC">
        <w:rPr>
          <w:rFonts w:cs="Arial"/>
          <w:lang w:val="en-GB"/>
        </w:rPr>
        <w:t xml:space="preserve">This report covers:  </w:t>
      </w:r>
    </w:p>
    <w:p w:rsidR="000942AC" w:rsidRPr="00E216C1" w:rsidRDefault="000942AC" w:rsidP="000942AC">
      <w:pPr>
        <w:spacing w:line="276" w:lineRule="auto"/>
        <w:rPr>
          <w:rFonts w:cs="Arial"/>
          <w:lang w:val="en-GB"/>
        </w:rPr>
      </w:pPr>
    </w:p>
    <w:p w:rsidR="000942AC" w:rsidRPr="00E216C1" w:rsidRDefault="000942AC" w:rsidP="00E216C1">
      <w:pPr>
        <w:pStyle w:val="ListParagraph"/>
        <w:numPr>
          <w:ilvl w:val="0"/>
          <w:numId w:val="29"/>
        </w:numPr>
        <w:spacing w:line="276" w:lineRule="auto"/>
        <w:rPr>
          <w:rFonts w:ascii="Arial" w:hAnsi="Arial" w:cs="Arial"/>
          <w:sz w:val="20"/>
          <w:lang w:val="en-GB"/>
        </w:rPr>
      </w:pPr>
      <w:r w:rsidRPr="00E216C1">
        <w:rPr>
          <w:rFonts w:ascii="Arial" w:hAnsi="Arial" w:cs="Arial"/>
          <w:sz w:val="20"/>
          <w:lang w:val="en-GB"/>
        </w:rPr>
        <w:t>a</w:t>
      </w:r>
      <w:r w:rsidR="005C599B">
        <w:rPr>
          <w:rFonts w:ascii="Arial" w:hAnsi="Arial" w:cs="Arial"/>
          <w:sz w:val="20"/>
          <w:lang w:val="en-GB"/>
        </w:rPr>
        <w:t xml:space="preserve"> summary of the results of the </w:t>
      </w:r>
      <w:r w:rsidRPr="00E216C1">
        <w:rPr>
          <w:rFonts w:ascii="Arial" w:hAnsi="Arial" w:cs="Arial"/>
          <w:sz w:val="20"/>
          <w:lang w:val="en-GB"/>
        </w:rPr>
        <w:t>TCN Transmission Development Plan</w:t>
      </w:r>
      <w:r w:rsidR="004D5BAE">
        <w:rPr>
          <w:rFonts w:ascii="Arial" w:hAnsi="Arial" w:cs="Arial"/>
          <w:sz w:val="20"/>
          <w:lang w:val="en-GB"/>
        </w:rPr>
        <w:t xml:space="preserve"> as prepared by MHI</w:t>
      </w:r>
      <w:r w:rsidR="005C599B">
        <w:rPr>
          <w:rFonts w:ascii="Arial" w:hAnsi="Arial" w:cs="Arial"/>
          <w:sz w:val="20"/>
          <w:lang w:val="en-GB"/>
        </w:rPr>
        <w:t>;</w:t>
      </w:r>
    </w:p>
    <w:p w:rsidR="000942AC" w:rsidRPr="00E216C1" w:rsidRDefault="000942AC" w:rsidP="00E216C1">
      <w:pPr>
        <w:pStyle w:val="ListParagraph"/>
        <w:numPr>
          <w:ilvl w:val="0"/>
          <w:numId w:val="29"/>
        </w:numPr>
        <w:spacing w:line="276" w:lineRule="auto"/>
        <w:rPr>
          <w:rFonts w:ascii="Arial" w:hAnsi="Arial" w:cs="Arial"/>
          <w:sz w:val="20"/>
          <w:lang w:val="en-GB"/>
        </w:rPr>
      </w:pPr>
      <w:r w:rsidRPr="00E216C1">
        <w:rPr>
          <w:rFonts w:ascii="Arial" w:hAnsi="Arial" w:cs="Arial"/>
          <w:sz w:val="20"/>
          <w:lang w:val="en-GB"/>
        </w:rPr>
        <w:t xml:space="preserve">a prioritized list of transmission network capital projects currently underway </w:t>
      </w:r>
      <w:r w:rsidR="00797E98">
        <w:rPr>
          <w:rFonts w:ascii="Arial" w:hAnsi="Arial" w:cs="Arial"/>
          <w:sz w:val="20"/>
          <w:lang w:val="en-GB"/>
        </w:rPr>
        <w:t xml:space="preserve">and proposed to reach a total system capacity of </w:t>
      </w:r>
      <w:r w:rsidR="00797E98" w:rsidRPr="00797E98">
        <w:rPr>
          <w:rFonts w:ascii="Arial" w:hAnsi="Arial" w:cs="Arial"/>
          <w:sz w:val="20"/>
          <w:lang w:val="en-GB"/>
        </w:rPr>
        <w:t>10 GW by 2017</w:t>
      </w:r>
      <w:r w:rsidR="004D5BAE">
        <w:rPr>
          <w:rFonts w:ascii="Arial" w:hAnsi="Arial" w:cs="Arial"/>
          <w:sz w:val="20"/>
          <w:lang w:val="en-GB"/>
        </w:rPr>
        <w:t>,</w:t>
      </w:r>
      <w:r w:rsidR="00797E98">
        <w:rPr>
          <w:rFonts w:ascii="Arial" w:hAnsi="Arial" w:cs="Arial"/>
          <w:sz w:val="20"/>
          <w:lang w:val="en-GB"/>
        </w:rPr>
        <w:t xml:space="preserve"> and 20 GW by 2020</w:t>
      </w:r>
      <w:r w:rsidRPr="00E216C1">
        <w:rPr>
          <w:rFonts w:ascii="Arial" w:hAnsi="Arial" w:cs="Arial"/>
          <w:sz w:val="20"/>
          <w:lang w:val="en-GB"/>
        </w:rPr>
        <w:t>;</w:t>
      </w:r>
      <w:r w:rsidR="006009E6">
        <w:rPr>
          <w:rFonts w:ascii="Arial" w:hAnsi="Arial" w:cs="Arial"/>
          <w:sz w:val="20"/>
          <w:lang w:val="en-GB"/>
        </w:rPr>
        <w:t xml:space="preserve"> and</w:t>
      </w:r>
    </w:p>
    <w:p w:rsidR="000942AC" w:rsidRPr="00E216C1" w:rsidRDefault="000942AC" w:rsidP="00E216C1">
      <w:pPr>
        <w:pStyle w:val="ListParagraph"/>
        <w:numPr>
          <w:ilvl w:val="0"/>
          <w:numId w:val="29"/>
        </w:numPr>
        <w:spacing w:line="276" w:lineRule="auto"/>
        <w:rPr>
          <w:rFonts w:ascii="Arial" w:hAnsi="Arial" w:cs="Arial"/>
          <w:sz w:val="20"/>
          <w:lang w:val="en-GB"/>
        </w:rPr>
      </w:pPr>
      <w:proofErr w:type="gramStart"/>
      <w:r w:rsidRPr="00E216C1">
        <w:rPr>
          <w:rFonts w:ascii="Arial" w:hAnsi="Arial" w:cs="Arial"/>
          <w:sz w:val="20"/>
          <w:lang w:val="en-GB"/>
        </w:rPr>
        <w:t>a</w:t>
      </w:r>
      <w:proofErr w:type="gramEnd"/>
      <w:r w:rsidRPr="00E216C1">
        <w:rPr>
          <w:rFonts w:ascii="Arial" w:hAnsi="Arial" w:cs="Arial"/>
          <w:sz w:val="20"/>
          <w:lang w:val="en-GB"/>
        </w:rPr>
        <w:t xml:space="preserve"> summary of the </w:t>
      </w:r>
      <w:r w:rsidR="005C599B">
        <w:rPr>
          <w:rFonts w:ascii="Arial" w:hAnsi="Arial" w:cs="Arial"/>
          <w:sz w:val="20"/>
          <w:lang w:val="en-GB"/>
        </w:rPr>
        <w:t xml:space="preserve">phased </w:t>
      </w:r>
      <w:r w:rsidRPr="00E216C1">
        <w:rPr>
          <w:rFonts w:ascii="Arial" w:hAnsi="Arial" w:cs="Arial"/>
          <w:sz w:val="20"/>
          <w:lang w:val="en-GB"/>
        </w:rPr>
        <w:t>capital funding requirements for the TCN Transmission Development Plan.</w:t>
      </w:r>
    </w:p>
    <w:p w:rsidR="005B5B3F" w:rsidRPr="00E216C1" w:rsidRDefault="005B5B3F" w:rsidP="00320A2D">
      <w:pPr>
        <w:spacing w:line="276" w:lineRule="auto"/>
        <w:rPr>
          <w:rFonts w:cs="Arial"/>
          <w:lang w:val="en-GB"/>
        </w:rPr>
      </w:pPr>
    </w:p>
    <w:p w:rsidR="00172B56" w:rsidRDefault="00172B56" w:rsidP="0059541F">
      <w:pPr>
        <w:pStyle w:val="Heading1"/>
        <w:rPr>
          <w:rFonts w:cs="Arial"/>
          <w:lang w:val="en-GB"/>
        </w:rPr>
        <w:sectPr w:rsidR="00172B56" w:rsidSect="00242760">
          <w:pgSz w:w="12240" w:h="15840"/>
          <w:pgMar w:top="1701" w:right="1608" w:bottom="1440" w:left="1560" w:header="576" w:footer="125" w:gutter="0"/>
          <w:cols w:space="708"/>
          <w:docGrid w:linePitch="360"/>
        </w:sectPr>
      </w:pPr>
    </w:p>
    <w:p w:rsidR="00B41418" w:rsidRPr="008E630E" w:rsidRDefault="006133B5" w:rsidP="0059541F">
      <w:pPr>
        <w:pStyle w:val="Heading1"/>
        <w:rPr>
          <w:rFonts w:cs="Arial"/>
          <w:lang w:val="en-GB"/>
        </w:rPr>
      </w:pPr>
      <w:bookmarkStart w:id="1" w:name="_Ref380581343"/>
      <w:bookmarkStart w:id="2" w:name="_Ref380581358"/>
      <w:bookmarkStart w:id="3" w:name="_Toc381186741"/>
      <w:r>
        <w:rPr>
          <w:rFonts w:cs="Arial"/>
          <w:lang w:val="en-GB"/>
        </w:rPr>
        <w:lastRenderedPageBreak/>
        <w:t xml:space="preserve">Transmission </w:t>
      </w:r>
      <w:r w:rsidR="005144C6">
        <w:rPr>
          <w:rFonts w:cs="Arial"/>
          <w:lang w:val="en-GB"/>
        </w:rPr>
        <w:t>Plan</w:t>
      </w:r>
      <w:r w:rsidR="00E216C1">
        <w:rPr>
          <w:rFonts w:cs="Arial"/>
          <w:lang w:val="en-GB"/>
        </w:rPr>
        <w:t>ning Study for 10 GW System</w:t>
      </w:r>
      <w:bookmarkEnd w:id="1"/>
      <w:bookmarkEnd w:id="2"/>
      <w:bookmarkEnd w:id="3"/>
    </w:p>
    <w:p w:rsidR="000942AC" w:rsidRDefault="000942AC" w:rsidP="00714A27">
      <w:pPr>
        <w:pStyle w:val="Heading2"/>
      </w:pPr>
      <w:bookmarkStart w:id="4" w:name="_Toc381186742"/>
      <w:r>
        <w:t>Introduction</w:t>
      </w:r>
      <w:bookmarkEnd w:id="4"/>
      <w:r w:rsidR="005144C6">
        <w:t xml:space="preserve"> </w:t>
      </w:r>
    </w:p>
    <w:p w:rsidR="005C599B" w:rsidRDefault="00831224" w:rsidP="005144C6">
      <w:pPr>
        <w:jc w:val="both"/>
        <w:rPr>
          <w:rFonts w:cs="Arial"/>
          <w:lang w:val="en-GB"/>
        </w:rPr>
      </w:pPr>
      <w:r w:rsidRPr="00831224">
        <w:rPr>
          <w:rFonts w:cs="Arial"/>
          <w:lang w:val="en-GB"/>
        </w:rPr>
        <w:t xml:space="preserve">Nigeria’s transmission system, which consists of 330kV and 132kV high voltage lines, substations, and control facilities is </w:t>
      </w:r>
      <w:r w:rsidR="005144C6" w:rsidRPr="00CF0263">
        <w:rPr>
          <w:rFonts w:cs="Arial"/>
          <w:lang w:val="en-GB"/>
        </w:rPr>
        <w:t xml:space="preserve">owned and operated by </w:t>
      </w:r>
      <w:r w:rsidR="005144C6">
        <w:rPr>
          <w:rFonts w:cs="Arial"/>
          <w:lang w:val="en-GB"/>
        </w:rPr>
        <w:t>the</w:t>
      </w:r>
      <w:r w:rsidR="005144C6" w:rsidRPr="00CF0263">
        <w:rPr>
          <w:rFonts w:cs="Arial"/>
          <w:lang w:val="en-GB"/>
        </w:rPr>
        <w:t xml:space="preserve"> Transmission Company of Nigeria (TCN). </w:t>
      </w:r>
      <w:r w:rsidR="005144C6">
        <w:rPr>
          <w:rFonts w:cs="Arial"/>
          <w:lang w:val="en-GB"/>
        </w:rPr>
        <w:t xml:space="preserve">Within </w:t>
      </w:r>
      <w:r w:rsidR="005144C6" w:rsidRPr="00CF0263">
        <w:rPr>
          <w:rFonts w:cs="Arial"/>
          <w:lang w:val="en-GB"/>
        </w:rPr>
        <w:t>TCN</w:t>
      </w:r>
      <w:r w:rsidR="005144C6">
        <w:rPr>
          <w:rFonts w:cs="Arial"/>
          <w:lang w:val="en-GB"/>
        </w:rPr>
        <w:t>,</w:t>
      </w:r>
      <w:r w:rsidR="005144C6" w:rsidRPr="00CF0263">
        <w:rPr>
          <w:rFonts w:cs="Arial"/>
          <w:lang w:val="en-GB"/>
        </w:rPr>
        <w:t xml:space="preserve"> the Transmission Services Provider </w:t>
      </w:r>
      <w:r w:rsidR="005144C6">
        <w:rPr>
          <w:rFonts w:cs="Arial"/>
          <w:lang w:val="en-GB"/>
        </w:rPr>
        <w:t xml:space="preserve">Business Unit is responsible for constructing </w:t>
      </w:r>
      <w:r w:rsidR="005144C6" w:rsidRPr="00CF0263">
        <w:rPr>
          <w:rFonts w:cs="Arial"/>
          <w:lang w:val="en-GB"/>
        </w:rPr>
        <w:t xml:space="preserve">and maintaining </w:t>
      </w:r>
      <w:r w:rsidR="005144C6">
        <w:rPr>
          <w:rFonts w:cs="Arial"/>
          <w:lang w:val="en-GB"/>
        </w:rPr>
        <w:t xml:space="preserve">the </w:t>
      </w:r>
      <w:r w:rsidR="005144C6" w:rsidRPr="00CF0263">
        <w:rPr>
          <w:rFonts w:cs="Arial"/>
          <w:lang w:val="en-GB"/>
        </w:rPr>
        <w:t xml:space="preserve">transmission </w:t>
      </w:r>
      <w:r w:rsidR="005144C6">
        <w:rPr>
          <w:rFonts w:cs="Arial"/>
          <w:lang w:val="en-GB"/>
        </w:rPr>
        <w:t xml:space="preserve">system infrastructure. </w:t>
      </w:r>
      <w:r w:rsidR="005144C6" w:rsidRPr="00CF0263">
        <w:rPr>
          <w:rFonts w:cs="Arial"/>
          <w:lang w:val="en-GB"/>
        </w:rPr>
        <w:t xml:space="preserve"> </w:t>
      </w:r>
    </w:p>
    <w:p w:rsidR="005C599B" w:rsidRDefault="005C599B" w:rsidP="005144C6">
      <w:pPr>
        <w:jc w:val="both"/>
        <w:rPr>
          <w:rFonts w:cs="Arial"/>
          <w:lang w:val="en-GB"/>
        </w:rPr>
      </w:pPr>
    </w:p>
    <w:p w:rsidR="005144C6" w:rsidRDefault="005144C6" w:rsidP="00A71EAD">
      <w:pPr>
        <w:jc w:val="both"/>
        <w:rPr>
          <w:rFonts w:cs="Arial"/>
          <w:lang w:val="en-GB"/>
        </w:rPr>
      </w:pPr>
      <w:r w:rsidRPr="00CF0263">
        <w:rPr>
          <w:rFonts w:cs="Arial"/>
          <w:lang w:val="en-GB"/>
        </w:rPr>
        <w:t xml:space="preserve">The transmission system </w:t>
      </w:r>
      <w:r>
        <w:rPr>
          <w:rFonts w:cs="Arial"/>
          <w:lang w:val="en-GB"/>
        </w:rPr>
        <w:t>has problems with reliability and</w:t>
      </w:r>
      <w:r w:rsidRPr="00CF0263">
        <w:rPr>
          <w:rFonts w:cs="Arial"/>
          <w:lang w:val="en-GB"/>
        </w:rPr>
        <w:t xml:space="preserve"> security</w:t>
      </w:r>
      <w:r>
        <w:rPr>
          <w:rFonts w:cs="Arial"/>
          <w:lang w:val="en-GB"/>
        </w:rPr>
        <w:t>,</w:t>
      </w:r>
      <w:r w:rsidRPr="00CF0263">
        <w:rPr>
          <w:rFonts w:cs="Arial"/>
          <w:lang w:val="en-GB"/>
        </w:rPr>
        <w:t xml:space="preserve"> and </w:t>
      </w:r>
      <w:r>
        <w:rPr>
          <w:rFonts w:cs="Arial"/>
          <w:lang w:val="en-GB"/>
        </w:rPr>
        <w:t xml:space="preserve">is currently </w:t>
      </w:r>
      <w:r w:rsidRPr="00CF0263">
        <w:rPr>
          <w:rFonts w:cs="Arial"/>
          <w:lang w:val="en-GB"/>
        </w:rPr>
        <w:t xml:space="preserve">inadequate for the major generation expansion projects that </w:t>
      </w:r>
      <w:r>
        <w:rPr>
          <w:rFonts w:cs="Arial"/>
          <w:lang w:val="en-GB"/>
        </w:rPr>
        <w:t>are in the planning or construction phases.</w:t>
      </w:r>
      <w:r w:rsidRPr="00CF0263">
        <w:rPr>
          <w:rFonts w:cs="Arial"/>
          <w:lang w:val="en-GB"/>
        </w:rPr>
        <w:t xml:space="preserve">  </w:t>
      </w:r>
      <w:r w:rsidR="00A71EAD">
        <w:rPr>
          <w:rFonts w:cs="Arial"/>
          <w:lang w:val="en-GB"/>
        </w:rPr>
        <w:t>As the NIPP transmission construction program nears completion, the capacity of the transmission system is e</w:t>
      </w:r>
      <w:r w:rsidR="005C599B">
        <w:rPr>
          <w:rFonts w:cs="Arial"/>
          <w:lang w:val="en-GB"/>
        </w:rPr>
        <w:t>xpected to reach</w:t>
      </w:r>
      <w:r w:rsidR="00A71EAD">
        <w:rPr>
          <w:rFonts w:cs="Arial"/>
          <w:lang w:val="en-GB"/>
        </w:rPr>
        <w:t xml:space="preserve"> around 7,000 MW.  This represents the </w:t>
      </w:r>
      <w:r w:rsidR="005C599B">
        <w:rPr>
          <w:rFonts w:cs="Arial"/>
          <w:lang w:val="en-GB"/>
        </w:rPr>
        <w:t xml:space="preserve">estimated </w:t>
      </w:r>
      <w:r w:rsidR="00A71EAD">
        <w:rPr>
          <w:rFonts w:cs="Arial"/>
          <w:lang w:val="en-GB"/>
        </w:rPr>
        <w:t xml:space="preserve">total capacity of the network to wheel energy </w:t>
      </w:r>
      <w:r w:rsidR="005C599B">
        <w:rPr>
          <w:rFonts w:cs="Arial"/>
          <w:lang w:val="en-GB"/>
        </w:rPr>
        <w:t xml:space="preserve">from generation to load </w:t>
      </w:r>
      <w:r w:rsidR="00A71EAD">
        <w:rPr>
          <w:rFonts w:cs="Arial"/>
          <w:lang w:val="en-GB"/>
        </w:rPr>
        <w:t>o</w:t>
      </w:r>
      <w:r w:rsidR="005C599B">
        <w:rPr>
          <w:rFonts w:cs="Arial"/>
          <w:lang w:val="en-GB"/>
        </w:rPr>
        <w:t>ver</w:t>
      </w:r>
      <w:r w:rsidR="00A71EAD">
        <w:rPr>
          <w:rFonts w:cs="Arial"/>
          <w:lang w:val="en-GB"/>
        </w:rPr>
        <w:t xml:space="preserve"> the 330/132 kV system.  TCN aspires</w:t>
      </w:r>
      <w:r w:rsidR="00A71EAD" w:rsidRPr="00A71EAD">
        <w:rPr>
          <w:rFonts w:cs="Arial"/>
          <w:lang w:val="en-GB"/>
        </w:rPr>
        <w:t xml:space="preserve"> to increase the capacity of the grid from 7 GW </w:t>
      </w:r>
      <w:r w:rsidR="008F7B68">
        <w:rPr>
          <w:rFonts w:cs="Arial"/>
          <w:lang w:val="en-GB"/>
        </w:rPr>
        <w:t xml:space="preserve">up </w:t>
      </w:r>
      <w:r w:rsidR="00A71EAD" w:rsidRPr="00A71EAD">
        <w:rPr>
          <w:rFonts w:cs="Arial"/>
          <w:lang w:val="en-GB"/>
        </w:rPr>
        <w:t xml:space="preserve">to 10 GW by </w:t>
      </w:r>
      <w:proofErr w:type="gramStart"/>
      <w:r w:rsidR="00A71EAD" w:rsidRPr="00A71EAD">
        <w:rPr>
          <w:rFonts w:cs="Arial"/>
          <w:lang w:val="en-GB"/>
        </w:rPr>
        <w:t>2017,</w:t>
      </w:r>
      <w:proofErr w:type="gramEnd"/>
      <w:r w:rsidR="00A71EAD" w:rsidRPr="00A71EAD">
        <w:rPr>
          <w:rFonts w:cs="Arial"/>
          <w:lang w:val="en-GB"/>
        </w:rPr>
        <w:t xml:space="preserve"> and </w:t>
      </w:r>
      <w:r w:rsidR="008F7B68">
        <w:rPr>
          <w:rFonts w:cs="Arial"/>
          <w:lang w:val="en-GB"/>
        </w:rPr>
        <w:t xml:space="preserve">up </w:t>
      </w:r>
      <w:r w:rsidR="00A71EAD" w:rsidRPr="00A71EAD">
        <w:rPr>
          <w:rFonts w:cs="Arial"/>
          <w:lang w:val="en-GB"/>
        </w:rPr>
        <w:t xml:space="preserve">to 20 GW by 2020.  </w:t>
      </w:r>
      <w:r w:rsidR="005C599B">
        <w:rPr>
          <w:rFonts w:cs="Arial"/>
          <w:lang w:val="en-GB"/>
        </w:rPr>
        <w:t>At the same time, TCN will need to refurbish older facilities to improve reliability and security.</w:t>
      </w:r>
    </w:p>
    <w:p w:rsidR="005144C6" w:rsidRDefault="005144C6" w:rsidP="005144C6">
      <w:pPr>
        <w:jc w:val="both"/>
        <w:rPr>
          <w:rFonts w:cs="Arial"/>
          <w:lang w:val="en-GB"/>
        </w:rPr>
      </w:pPr>
    </w:p>
    <w:p w:rsidR="000942AC" w:rsidRDefault="00A71EAD" w:rsidP="000942AC">
      <w:r>
        <w:t xml:space="preserve">In support of the </w:t>
      </w:r>
      <w:r w:rsidR="004D5BAE">
        <w:t>initial</w:t>
      </w:r>
      <w:r>
        <w:t xml:space="preserve"> goal to reach 10 GW by 2017, </w:t>
      </w:r>
      <w:r w:rsidR="000942AC" w:rsidRPr="00F5073C">
        <w:t>MHI</w:t>
      </w:r>
      <w:r w:rsidR="000942AC">
        <w:t xml:space="preserve"> and </w:t>
      </w:r>
      <w:r w:rsidR="000942AC" w:rsidRPr="00F5073C">
        <w:t xml:space="preserve">TCN </w:t>
      </w:r>
      <w:r w:rsidR="000942AC">
        <w:t xml:space="preserve">system planning experts </w:t>
      </w:r>
      <w:r w:rsidR="000942AC" w:rsidRPr="00F5073C">
        <w:t xml:space="preserve">have prepared a </w:t>
      </w:r>
      <w:r w:rsidR="005144C6">
        <w:t xml:space="preserve">Transmission Development Plan using </w:t>
      </w:r>
      <w:r w:rsidR="000942AC">
        <w:t xml:space="preserve">the </w:t>
      </w:r>
      <w:r w:rsidR="000942AC" w:rsidRPr="00F5073C">
        <w:t xml:space="preserve">PSSE </w:t>
      </w:r>
      <w:r w:rsidR="005144C6">
        <w:t xml:space="preserve">planning </w:t>
      </w:r>
      <w:r w:rsidR="000942AC" w:rsidRPr="00F5073C">
        <w:t>software</w:t>
      </w:r>
      <w:r w:rsidR="005144C6">
        <w:t xml:space="preserve">.  </w:t>
      </w:r>
      <w:r w:rsidR="000942AC" w:rsidRPr="00F5073C">
        <w:t>The first step</w:t>
      </w:r>
      <w:r w:rsidR="000942AC">
        <w:t xml:space="preserve"> in the planning process </w:t>
      </w:r>
      <w:r w:rsidR="000942AC" w:rsidRPr="00F5073C">
        <w:t>involved converting TCN’s existing NEPLAN model to PSSE.  MHI planning engineers and TCN planning engineers worked on the conversion of the initial NEPLAN based 4,500 MW model and subsequent development of the PSSE 10,000 MW model over a period of many months both in Abuja and at the en</w:t>
      </w:r>
      <w:r w:rsidR="000942AC">
        <w:t>gineering offices in Manitoba</w:t>
      </w:r>
      <w:r w:rsidR="000942AC" w:rsidRPr="00F5073C">
        <w:t>.</w:t>
      </w:r>
    </w:p>
    <w:p w:rsidR="000942AC" w:rsidRDefault="000942AC" w:rsidP="000942AC"/>
    <w:p w:rsidR="000942AC" w:rsidRDefault="004D5BAE" w:rsidP="000942AC">
      <w:r>
        <w:t>T</w:t>
      </w:r>
      <w:r w:rsidR="000942AC">
        <w:t xml:space="preserve">he 10 GW model </w:t>
      </w:r>
      <w:r>
        <w:t xml:space="preserve">was completed </w:t>
      </w:r>
      <w:r w:rsidR="000942AC">
        <w:t>in July 2013</w:t>
      </w:r>
      <w:r>
        <w:t>.  Since then</w:t>
      </w:r>
      <w:r w:rsidR="000942AC">
        <w:t xml:space="preserve">, MHI and TCN engineers have continued to refine the Transmission Development Plan.  This has resulted in some additions to the list of required substations, lines and voltage compensation facilities.  The lists of projects shown in this report reflect all additions made subsequent to publication of the MHI report. </w:t>
      </w:r>
    </w:p>
    <w:p w:rsidR="000942AC" w:rsidRDefault="000942AC" w:rsidP="000942AC"/>
    <w:p w:rsidR="000942AC" w:rsidRDefault="000942AC" w:rsidP="00714A27">
      <w:pPr>
        <w:pStyle w:val="Heading2"/>
      </w:pPr>
      <w:bookmarkStart w:id="5" w:name="_Toc381186743"/>
      <w:r>
        <w:t>Executive Summary of MHI Transmission Development Plan</w:t>
      </w:r>
      <w:r w:rsidRPr="00583009">
        <w:t xml:space="preserve"> </w:t>
      </w:r>
      <w:r>
        <w:t>Report</w:t>
      </w:r>
      <w:bookmarkEnd w:id="5"/>
    </w:p>
    <w:p w:rsidR="000942AC" w:rsidRDefault="000942AC" w:rsidP="000942AC">
      <w:r>
        <w:t xml:space="preserve">Below is an excerpt from the executive summary </w:t>
      </w:r>
      <w:r w:rsidR="004D5BAE">
        <w:t xml:space="preserve">of the report presenting the results for the </w:t>
      </w:r>
      <w:r>
        <w:t xml:space="preserve">10 GW </w:t>
      </w:r>
      <w:r w:rsidR="004D5BAE">
        <w:t>model</w:t>
      </w:r>
      <w:r>
        <w:t xml:space="preserve">.  Please see </w:t>
      </w:r>
      <w:r w:rsidR="00CF05A0">
        <w:fldChar w:fldCharType="begin"/>
      </w:r>
      <w:r w:rsidR="008F7B68">
        <w:instrText xml:space="preserve"> REF _Ref381093028 \w \h </w:instrText>
      </w:r>
      <w:r w:rsidR="00CF05A0">
        <w:fldChar w:fldCharType="separate"/>
      </w:r>
      <w:r w:rsidR="0056026E">
        <w:t>Appendix A</w:t>
      </w:r>
      <w:r w:rsidR="00CF05A0">
        <w:fldChar w:fldCharType="end"/>
      </w:r>
      <w:r>
        <w:t xml:space="preserve"> for the full report.</w:t>
      </w:r>
    </w:p>
    <w:p w:rsidR="00D52E1B" w:rsidRDefault="00D52E1B" w:rsidP="008E630E">
      <w:pPr>
        <w:suppressAutoHyphens/>
      </w:pPr>
    </w:p>
    <w:p w:rsidR="008E630E" w:rsidRPr="009D1832" w:rsidRDefault="008E630E" w:rsidP="006009E6">
      <w:pPr>
        <w:suppressAutoHyphens/>
        <w:ind w:left="360"/>
      </w:pPr>
      <w:r w:rsidRPr="009D1832">
        <w:t xml:space="preserve">In early 2013 Manitoba Hydro International Ltd. (MHI) was contracted to assist Transmission Company of Nigeria (TCN) with model development </w:t>
      </w:r>
      <w:r>
        <w:t xml:space="preserve">and system studies </w:t>
      </w:r>
      <w:r w:rsidRPr="009D1832">
        <w:t>related to the ongoing system expansion projects.</w:t>
      </w:r>
    </w:p>
    <w:p w:rsidR="008E630E" w:rsidRPr="009D1832" w:rsidRDefault="008E630E" w:rsidP="006009E6">
      <w:pPr>
        <w:suppressAutoHyphens/>
        <w:ind w:left="360"/>
      </w:pPr>
    </w:p>
    <w:p w:rsidR="008E630E" w:rsidRPr="009D1832" w:rsidRDefault="008E630E" w:rsidP="006009E6">
      <w:pPr>
        <w:suppressAutoHyphens/>
        <w:ind w:left="360"/>
      </w:pPr>
      <w:r w:rsidRPr="009D1832">
        <w:t xml:space="preserve">The </w:t>
      </w:r>
      <w:r>
        <w:t>existing</w:t>
      </w:r>
      <w:r w:rsidRPr="009D1832">
        <w:t xml:space="preserve"> generation and network resources cannot </w:t>
      </w:r>
      <w:r>
        <w:t>sustain</w:t>
      </w:r>
      <w:r w:rsidRPr="009D1832">
        <w:t xml:space="preserve"> the entire load and hence load rotation schemes have been adopted. This results in daily power cuts to customers. The proposed system expansions are aimed at serving the existing loads as well as cater</w:t>
      </w:r>
      <w:r>
        <w:t xml:space="preserve">ing </w:t>
      </w:r>
      <w:r w:rsidRPr="009D1832">
        <w:t>the potential load growth over the next five years.</w:t>
      </w:r>
    </w:p>
    <w:p w:rsidR="008E630E" w:rsidRPr="009D1832" w:rsidRDefault="008E630E" w:rsidP="006009E6">
      <w:pPr>
        <w:suppressAutoHyphens/>
        <w:ind w:left="360"/>
      </w:pPr>
    </w:p>
    <w:p w:rsidR="008E630E" w:rsidRPr="009D1832" w:rsidRDefault="008E630E" w:rsidP="006009E6">
      <w:pPr>
        <w:suppressAutoHyphens/>
        <w:ind w:left="360"/>
      </w:pPr>
      <w:r w:rsidRPr="009D1832">
        <w:lastRenderedPageBreak/>
        <w:t>The model development and study results reported here focused on tw</w:t>
      </w:r>
      <w:r w:rsidR="005144C6">
        <w:t>o specific stages of TCN system:</w:t>
      </w:r>
    </w:p>
    <w:p w:rsidR="008E630E" w:rsidRPr="009D1832" w:rsidRDefault="008E630E" w:rsidP="006009E6">
      <w:pPr>
        <w:suppressAutoHyphens/>
        <w:ind w:left="360"/>
      </w:pPr>
    </w:p>
    <w:p w:rsidR="008E630E" w:rsidRPr="009D1832" w:rsidRDefault="008E630E" w:rsidP="008E630E">
      <w:pPr>
        <w:suppressAutoHyphens/>
        <w:ind w:left="720" w:hanging="360"/>
      </w:pPr>
      <w:r w:rsidRPr="009D1832">
        <w:t xml:space="preserve">1. </w:t>
      </w:r>
      <w:r w:rsidR="000942AC">
        <w:tab/>
      </w:r>
      <w:r w:rsidRPr="000942AC">
        <w:rPr>
          <w:u w:val="single"/>
        </w:rPr>
        <w:t>4.5 GW network model</w:t>
      </w:r>
      <w:r w:rsidRPr="009D1832">
        <w:t>:  This is considered as the base system with a load of 4.5 GW and is a representative of the TCN network as of December 2012.</w:t>
      </w:r>
    </w:p>
    <w:p w:rsidR="008E630E" w:rsidRPr="009D1832" w:rsidRDefault="008E630E" w:rsidP="008E630E">
      <w:pPr>
        <w:suppressAutoHyphens/>
        <w:ind w:left="720" w:hanging="360"/>
      </w:pPr>
      <w:r w:rsidRPr="009D1832">
        <w:t xml:space="preserve">2. </w:t>
      </w:r>
      <w:r w:rsidR="000942AC">
        <w:tab/>
      </w:r>
      <w:r w:rsidRPr="000942AC">
        <w:rPr>
          <w:u w:val="single"/>
        </w:rPr>
        <w:t>10 GW network model</w:t>
      </w:r>
      <w:r w:rsidRPr="009D1832">
        <w:t>: This is the projected TCN network with 10 GW of load and is expected to be in operation by December 201</w:t>
      </w:r>
      <w:r>
        <w:t>6</w:t>
      </w:r>
      <w:r w:rsidRPr="009D1832">
        <w:t xml:space="preserve">. </w:t>
      </w:r>
    </w:p>
    <w:p w:rsidR="008E630E" w:rsidRPr="009D1832" w:rsidRDefault="008E630E" w:rsidP="006009E6">
      <w:pPr>
        <w:suppressAutoHyphens/>
        <w:ind w:left="360"/>
      </w:pPr>
    </w:p>
    <w:p w:rsidR="008E630E" w:rsidRPr="009D1832" w:rsidRDefault="008E630E" w:rsidP="006009E6">
      <w:pPr>
        <w:suppressAutoHyphens/>
        <w:ind w:left="360"/>
      </w:pPr>
      <w:r w:rsidRPr="009D1832">
        <w:t xml:space="preserve">When developing </w:t>
      </w:r>
      <w:r w:rsidR="005144C6">
        <w:t>the transmission</w:t>
      </w:r>
      <w:r w:rsidRPr="009D1832">
        <w:t xml:space="preserve"> models, certain assumptions had to be made when the required data was not available. These assumptions were made with the consent of TCN engineers a</w:t>
      </w:r>
      <w:r w:rsidR="00535E36">
        <w:t>nd details are discussed in the</w:t>
      </w:r>
      <w:r w:rsidRPr="009D1832">
        <w:t xml:space="preserve"> report. </w:t>
      </w:r>
    </w:p>
    <w:p w:rsidR="008E630E" w:rsidRPr="009D1832" w:rsidRDefault="008E630E" w:rsidP="006009E6">
      <w:pPr>
        <w:suppressAutoHyphens/>
        <w:ind w:left="360"/>
      </w:pPr>
    </w:p>
    <w:p w:rsidR="008E630E" w:rsidRPr="009D1832" w:rsidRDefault="005144C6" w:rsidP="006009E6">
      <w:pPr>
        <w:suppressAutoHyphens/>
        <w:ind w:left="360"/>
      </w:pPr>
      <w:r>
        <w:t>The f</w:t>
      </w:r>
      <w:r w:rsidR="008E630E" w:rsidRPr="009D1832">
        <w:t>ollowing tasks have been accomplished under this project</w:t>
      </w:r>
      <w:r>
        <w:t>:</w:t>
      </w:r>
      <w:r w:rsidR="008E630E" w:rsidRPr="009D1832">
        <w:t xml:space="preserve"> </w:t>
      </w:r>
    </w:p>
    <w:p w:rsidR="008E630E" w:rsidRPr="009D1832" w:rsidRDefault="008E630E" w:rsidP="006009E6">
      <w:pPr>
        <w:suppressAutoHyphens/>
        <w:ind w:left="360"/>
      </w:pPr>
    </w:p>
    <w:p w:rsidR="008E630E" w:rsidRPr="009D1832" w:rsidRDefault="008E630E" w:rsidP="008E630E">
      <w:pPr>
        <w:numPr>
          <w:ilvl w:val="0"/>
          <w:numId w:val="16"/>
        </w:numPr>
        <w:spacing w:after="200" w:line="276" w:lineRule="auto"/>
        <w:jc w:val="both"/>
      </w:pPr>
      <w:r w:rsidRPr="009D1832">
        <w:t>Conversion of 4.5 GW model representing the network as of the 4</w:t>
      </w:r>
      <w:r w:rsidRPr="009D1832">
        <w:rPr>
          <w:vertAlign w:val="superscript"/>
        </w:rPr>
        <w:t>th</w:t>
      </w:r>
      <w:r w:rsidRPr="009D1832">
        <w:t xml:space="preserve"> Quarter of 2012 from NEPLAN to PSS/E. Converted PSS/E model was submitted to TCN.</w:t>
      </w:r>
    </w:p>
    <w:p w:rsidR="008E630E" w:rsidRPr="009D1832" w:rsidRDefault="008E630E" w:rsidP="008E630E">
      <w:pPr>
        <w:numPr>
          <w:ilvl w:val="0"/>
          <w:numId w:val="16"/>
        </w:numPr>
        <w:spacing w:after="200" w:line="276" w:lineRule="auto"/>
        <w:jc w:val="both"/>
      </w:pPr>
      <w:r w:rsidRPr="009D1832">
        <w:t>Converted 4.5 GW model was expanded by incorporating generation, transmission and substation projects planned for 10 GW network expansions. Projects planned to complete by December 201</w:t>
      </w:r>
      <w:r>
        <w:t>6</w:t>
      </w:r>
      <w:r w:rsidRPr="009D1832">
        <w:t xml:space="preserve"> were included in 10 GW model. In order to complete the model, MHI had to perform a preliminary reactive power requirement analysis considering only the peak load conditions. Based on this analysis, additional shunt devices (not listed in the TCN project list</w:t>
      </w:r>
      <w:r>
        <w:t xml:space="preserve"> provided to MHI</w:t>
      </w:r>
      <w:r w:rsidRPr="009D1832">
        <w:t>) were added to the model. While the equipment identified by MHI is adequate to operate the system with peak load according to TCN Grid Code criteria, the locations and sizes (to some extent</w:t>
      </w:r>
      <w:r>
        <w:t>)</w:t>
      </w:r>
      <w:r w:rsidRPr="009D1832">
        <w:t xml:space="preserve"> are not optimized</w:t>
      </w:r>
      <w:r>
        <w:t>. R</w:t>
      </w:r>
      <w:r w:rsidRPr="009D1832">
        <w:t xml:space="preserve">eactive power compensation scheme design is a separate task undertaken by TCN. This 10 GW model was </w:t>
      </w:r>
      <w:r>
        <w:t>further validated by TCN</w:t>
      </w:r>
      <w:r w:rsidRPr="009D1832">
        <w:t>.</w:t>
      </w:r>
    </w:p>
    <w:p w:rsidR="008E630E" w:rsidRPr="009D1832" w:rsidRDefault="008E630E" w:rsidP="008E630E">
      <w:pPr>
        <w:numPr>
          <w:ilvl w:val="0"/>
          <w:numId w:val="16"/>
        </w:numPr>
        <w:spacing w:after="200" w:line="276" w:lineRule="auto"/>
        <w:jc w:val="both"/>
      </w:pPr>
      <w:r w:rsidRPr="009D1832">
        <w:t xml:space="preserve">Base cases were analyzed for steady state performances under system intact and N-1 contingency conditions. Steady state voltage violations and thermal </w:t>
      </w:r>
      <w:r>
        <w:t xml:space="preserve">overloads </w:t>
      </w:r>
      <w:r w:rsidRPr="009D1832">
        <w:t>were identified. Most of violations existing in the 4.5</w:t>
      </w:r>
      <w:r>
        <w:t> </w:t>
      </w:r>
      <w:r w:rsidRPr="009D1832">
        <w:t xml:space="preserve">GW network will be mitigated by network expansions identified for 10 GW network. However, remaining violations and new violations introduced due to the increased load and network expansions are required to be addressed for the 10 GW system. These issues are identified in this study and potential mitigation measures are proposed. </w:t>
      </w:r>
    </w:p>
    <w:p w:rsidR="008E630E" w:rsidRPr="009D1832" w:rsidRDefault="008E630E" w:rsidP="008E630E">
      <w:pPr>
        <w:numPr>
          <w:ilvl w:val="0"/>
          <w:numId w:val="16"/>
        </w:numPr>
        <w:spacing w:after="200" w:line="276" w:lineRule="auto"/>
        <w:jc w:val="both"/>
      </w:pPr>
      <w:r w:rsidRPr="009D1832">
        <w:t>A cursory transfer facility study was performed to identify network resources required to fa</w:t>
      </w:r>
      <w:r>
        <w:t>cilitate generation re-dispatch between hydro generation and thermal generation</w:t>
      </w:r>
      <w:r w:rsidRPr="009D1832">
        <w:t xml:space="preserve">. </w:t>
      </w:r>
      <w:r>
        <w:t xml:space="preserve">This is important since hydro generation may vary from 1500 MW in wet season to 150 MW in dry season.  </w:t>
      </w:r>
    </w:p>
    <w:p w:rsidR="008E630E" w:rsidRPr="006815E8" w:rsidRDefault="008E630E" w:rsidP="008E630E">
      <w:pPr>
        <w:numPr>
          <w:ilvl w:val="0"/>
          <w:numId w:val="16"/>
        </w:numPr>
        <w:spacing w:after="200" w:line="276" w:lineRule="auto"/>
        <w:jc w:val="both"/>
      </w:pPr>
      <w:r w:rsidRPr="009D1832">
        <w:t xml:space="preserve">The following four critical interfaces were identified in the 330 kV, 10 GW </w:t>
      </w:r>
      <w:r w:rsidRPr="006815E8">
        <w:t>network during system studies.</w:t>
      </w:r>
    </w:p>
    <w:p w:rsidR="008E630E" w:rsidRPr="008E630E" w:rsidRDefault="008E630E" w:rsidP="008E630E">
      <w:pPr>
        <w:pStyle w:val="ListParagraph"/>
        <w:numPr>
          <w:ilvl w:val="0"/>
          <w:numId w:val="18"/>
        </w:numPr>
        <w:ind w:left="1440"/>
        <w:contextualSpacing w:val="0"/>
        <w:rPr>
          <w:rFonts w:ascii="Arial" w:hAnsi="Arial" w:cs="Arial"/>
          <w:sz w:val="20"/>
        </w:rPr>
      </w:pPr>
      <w:r w:rsidRPr="008E630E">
        <w:rPr>
          <w:rFonts w:ascii="Arial" w:hAnsi="Arial" w:cs="Arial"/>
          <w:sz w:val="20"/>
        </w:rPr>
        <w:t xml:space="preserve">Transmission interface across areas </w:t>
      </w:r>
      <w:proofErr w:type="spellStart"/>
      <w:r w:rsidRPr="008E630E">
        <w:rPr>
          <w:rFonts w:ascii="Arial" w:hAnsi="Arial" w:cs="Arial"/>
          <w:sz w:val="20"/>
        </w:rPr>
        <w:t>Osogbo</w:t>
      </w:r>
      <w:proofErr w:type="spellEnd"/>
      <w:r w:rsidRPr="008E630E">
        <w:rPr>
          <w:rFonts w:ascii="Arial" w:hAnsi="Arial" w:cs="Arial"/>
          <w:sz w:val="20"/>
        </w:rPr>
        <w:t>, Benin and Enugu</w:t>
      </w:r>
    </w:p>
    <w:p w:rsidR="008E630E" w:rsidRPr="008E630E" w:rsidRDefault="008E630E" w:rsidP="008E630E">
      <w:pPr>
        <w:pStyle w:val="ListParagraph"/>
        <w:numPr>
          <w:ilvl w:val="0"/>
          <w:numId w:val="18"/>
        </w:numPr>
        <w:ind w:left="1440"/>
        <w:contextualSpacing w:val="0"/>
        <w:rPr>
          <w:rFonts w:ascii="Arial" w:hAnsi="Arial" w:cs="Arial"/>
          <w:sz w:val="20"/>
        </w:rPr>
      </w:pPr>
      <w:r w:rsidRPr="008E630E">
        <w:rPr>
          <w:rFonts w:ascii="Arial" w:hAnsi="Arial" w:cs="Arial"/>
          <w:sz w:val="20"/>
        </w:rPr>
        <w:t>Transmission interface across Kaduna and Kano</w:t>
      </w:r>
    </w:p>
    <w:p w:rsidR="008E630E" w:rsidRPr="008E630E" w:rsidRDefault="008E630E" w:rsidP="008E630E">
      <w:pPr>
        <w:pStyle w:val="ListParagraph"/>
        <w:numPr>
          <w:ilvl w:val="0"/>
          <w:numId w:val="18"/>
        </w:numPr>
        <w:ind w:left="1440"/>
        <w:contextualSpacing w:val="0"/>
        <w:rPr>
          <w:rFonts w:ascii="Arial" w:hAnsi="Arial" w:cs="Arial"/>
          <w:sz w:val="20"/>
        </w:rPr>
      </w:pPr>
      <w:r w:rsidRPr="008E630E">
        <w:rPr>
          <w:rFonts w:ascii="Arial" w:hAnsi="Arial" w:cs="Arial"/>
          <w:sz w:val="20"/>
        </w:rPr>
        <w:t xml:space="preserve">Transmission interface across </w:t>
      </w:r>
      <w:proofErr w:type="spellStart"/>
      <w:r w:rsidRPr="008E630E">
        <w:rPr>
          <w:rFonts w:ascii="Arial" w:hAnsi="Arial" w:cs="Arial"/>
          <w:sz w:val="20"/>
        </w:rPr>
        <w:t>Katampe</w:t>
      </w:r>
      <w:proofErr w:type="spellEnd"/>
      <w:r w:rsidRPr="008E630E">
        <w:rPr>
          <w:rFonts w:ascii="Arial" w:hAnsi="Arial" w:cs="Arial"/>
          <w:sz w:val="20"/>
        </w:rPr>
        <w:t xml:space="preserve">, </w:t>
      </w:r>
      <w:proofErr w:type="spellStart"/>
      <w:r w:rsidRPr="008E630E">
        <w:rPr>
          <w:rFonts w:ascii="Arial" w:hAnsi="Arial" w:cs="Arial"/>
          <w:sz w:val="20"/>
        </w:rPr>
        <w:t>Shiroro</w:t>
      </w:r>
      <w:proofErr w:type="spellEnd"/>
      <w:r w:rsidRPr="008E630E">
        <w:rPr>
          <w:rFonts w:ascii="Arial" w:hAnsi="Arial" w:cs="Arial"/>
          <w:sz w:val="20"/>
        </w:rPr>
        <w:t xml:space="preserve"> and </w:t>
      </w:r>
      <w:proofErr w:type="spellStart"/>
      <w:r w:rsidRPr="008E630E">
        <w:rPr>
          <w:rFonts w:ascii="Arial" w:hAnsi="Arial" w:cs="Arial"/>
          <w:sz w:val="20"/>
        </w:rPr>
        <w:t>Gwagwalada</w:t>
      </w:r>
      <w:proofErr w:type="spellEnd"/>
    </w:p>
    <w:p w:rsidR="008E630E" w:rsidRPr="008E630E" w:rsidRDefault="008E630E" w:rsidP="008E630E">
      <w:pPr>
        <w:pStyle w:val="ListParagraph"/>
        <w:numPr>
          <w:ilvl w:val="0"/>
          <w:numId w:val="18"/>
        </w:numPr>
        <w:ind w:left="1440"/>
        <w:contextualSpacing w:val="0"/>
        <w:rPr>
          <w:rFonts w:ascii="Arial" w:hAnsi="Arial" w:cs="Arial"/>
          <w:sz w:val="20"/>
        </w:rPr>
      </w:pPr>
      <w:r w:rsidRPr="008E630E">
        <w:rPr>
          <w:rFonts w:ascii="Arial" w:hAnsi="Arial" w:cs="Arial"/>
          <w:sz w:val="20"/>
        </w:rPr>
        <w:t xml:space="preserve">Transmission interface across </w:t>
      </w:r>
      <w:proofErr w:type="spellStart"/>
      <w:r w:rsidRPr="008E630E">
        <w:rPr>
          <w:rFonts w:ascii="Arial" w:hAnsi="Arial" w:cs="Arial"/>
          <w:sz w:val="20"/>
        </w:rPr>
        <w:t>Kainji</w:t>
      </w:r>
      <w:proofErr w:type="spellEnd"/>
      <w:r w:rsidRPr="008E630E">
        <w:rPr>
          <w:rFonts w:ascii="Arial" w:hAnsi="Arial" w:cs="Arial"/>
          <w:sz w:val="20"/>
        </w:rPr>
        <w:t xml:space="preserve"> to </w:t>
      </w:r>
      <w:proofErr w:type="spellStart"/>
      <w:r w:rsidRPr="008E630E">
        <w:rPr>
          <w:rFonts w:ascii="Arial" w:hAnsi="Arial" w:cs="Arial"/>
          <w:sz w:val="20"/>
        </w:rPr>
        <w:t>Birnin</w:t>
      </w:r>
      <w:proofErr w:type="spellEnd"/>
      <w:r w:rsidRPr="008E630E">
        <w:rPr>
          <w:rFonts w:ascii="Arial" w:hAnsi="Arial" w:cs="Arial"/>
          <w:sz w:val="20"/>
        </w:rPr>
        <w:t xml:space="preserve"> </w:t>
      </w:r>
      <w:proofErr w:type="spellStart"/>
      <w:r w:rsidRPr="008E630E">
        <w:rPr>
          <w:rFonts w:ascii="Arial" w:hAnsi="Arial" w:cs="Arial"/>
          <w:sz w:val="20"/>
        </w:rPr>
        <w:t>Kebbi</w:t>
      </w:r>
      <w:proofErr w:type="spellEnd"/>
      <w:r w:rsidRPr="008E630E">
        <w:rPr>
          <w:rFonts w:ascii="Arial" w:hAnsi="Arial" w:cs="Arial"/>
          <w:sz w:val="20"/>
        </w:rPr>
        <w:t xml:space="preserve"> (</w:t>
      </w:r>
      <w:proofErr w:type="spellStart"/>
      <w:r w:rsidRPr="008E630E">
        <w:rPr>
          <w:rFonts w:ascii="Arial" w:hAnsi="Arial" w:cs="Arial"/>
          <w:sz w:val="20"/>
        </w:rPr>
        <w:t>BKebbi</w:t>
      </w:r>
      <w:proofErr w:type="spellEnd"/>
      <w:r w:rsidRPr="008E630E">
        <w:rPr>
          <w:rFonts w:ascii="Arial" w:hAnsi="Arial" w:cs="Arial"/>
          <w:sz w:val="20"/>
        </w:rPr>
        <w:t>)</w:t>
      </w:r>
    </w:p>
    <w:p w:rsidR="008E630E" w:rsidRPr="00AA5EBF" w:rsidRDefault="008E630E" w:rsidP="008E630E"/>
    <w:p w:rsidR="008E630E" w:rsidRPr="009D1832" w:rsidRDefault="008E630E" w:rsidP="008E630E">
      <w:pPr>
        <w:spacing w:after="200" w:line="276" w:lineRule="auto"/>
        <w:ind w:left="720"/>
      </w:pPr>
      <w:r w:rsidRPr="009D1832">
        <w:lastRenderedPageBreak/>
        <w:t xml:space="preserve">These four interfaces have voltage related issues which has been analysed in detail. </w:t>
      </w:r>
      <w:r>
        <w:t>The first three</w:t>
      </w:r>
      <w:r w:rsidRPr="009D1832">
        <w:t xml:space="preserve"> issues can be mitigated by adding reactive power support which has been proposed in the report. </w:t>
      </w:r>
      <w:r w:rsidRPr="009D1832">
        <w:rPr>
          <w:i/>
        </w:rPr>
        <w:t>However, it should be noted that the root c</w:t>
      </w:r>
      <w:r>
        <w:rPr>
          <w:i/>
        </w:rPr>
        <w:t>ause</w:t>
      </w:r>
      <w:r w:rsidRPr="009D1832">
        <w:rPr>
          <w:i/>
        </w:rPr>
        <w:t xml:space="preserve"> of most of these issues is insufficient capacity of the transmission network to carry the increased power transfer</w:t>
      </w:r>
      <w:r w:rsidRPr="006815E8">
        <w:t>. The fo</w:t>
      </w:r>
      <w:r>
        <w:t>u</w:t>
      </w:r>
      <w:r w:rsidRPr="006815E8">
        <w:t>rt</w:t>
      </w:r>
      <w:r>
        <w:t>h issue cannot be mitigated by reactive power support and requires building of new transmission lines.</w:t>
      </w:r>
      <w:r w:rsidRPr="006815E8">
        <w:t xml:space="preserve"> </w:t>
      </w:r>
      <w:r w:rsidRPr="009D1832">
        <w:t xml:space="preserve">TCN should analyse these issues further and determine the </w:t>
      </w:r>
      <w:r w:rsidRPr="009D1832">
        <w:rPr>
          <w:color w:val="000000" w:themeColor="text1"/>
        </w:rPr>
        <w:t xml:space="preserve">most suitable upgrades (either adding shunts or building more lines) by considering technical and economic viability.  </w:t>
      </w:r>
    </w:p>
    <w:p w:rsidR="008E630E" w:rsidRPr="009D1832" w:rsidRDefault="008E630E" w:rsidP="008E630E">
      <w:pPr>
        <w:numPr>
          <w:ilvl w:val="0"/>
          <w:numId w:val="16"/>
        </w:numPr>
        <w:spacing w:after="200" w:line="276" w:lineRule="auto"/>
        <w:jc w:val="both"/>
      </w:pPr>
      <w:r w:rsidRPr="009D1832">
        <w:t xml:space="preserve">During the base case analysis and transfer facility studies, many steady state voltage violations and thermal overloads were identified. Worst overloading has been </w:t>
      </w:r>
      <w:r>
        <w:t>listed in this report</w:t>
      </w:r>
      <w:r w:rsidRPr="009D1832">
        <w:t xml:space="preserve"> for TCN to determine suitable mitigation measures.  In order to mitigate voltage violations an</w:t>
      </w:r>
      <w:r>
        <w:t>d achieve N-1 compliance for 10 </w:t>
      </w:r>
      <w:r w:rsidRPr="009D1832">
        <w:t xml:space="preserve">GW </w:t>
      </w:r>
      <w:proofErr w:type="gramStart"/>
      <w:r w:rsidRPr="009D1832">
        <w:t>system</w:t>
      </w:r>
      <w:proofErr w:type="gramEnd"/>
      <w:r w:rsidRPr="009D1832">
        <w:t>, the following mitigation measures have been proposed.</w:t>
      </w:r>
    </w:p>
    <w:p w:rsidR="008E630E" w:rsidRPr="009D1832" w:rsidRDefault="008E630E" w:rsidP="008E630E">
      <w:pPr>
        <w:numPr>
          <w:ilvl w:val="0"/>
          <w:numId w:val="17"/>
        </w:numPr>
        <w:suppressAutoHyphens/>
        <w:spacing w:after="200" w:line="276" w:lineRule="auto"/>
        <w:jc w:val="both"/>
      </w:pPr>
      <w:r w:rsidRPr="009D1832">
        <w:rPr>
          <w:b/>
        </w:rPr>
        <w:t>Tapping identified for 330 kV lines:</w:t>
      </w:r>
      <w:r>
        <w:t xml:space="preserve"> In selected locations, it is recommended </w:t>
      </w:r>
      <w:r w:rsidRPr="009D1832">
        <w:t xml:space="preserve">to </w:t>
      </w:r>
      <w:r>
        <w:t>tap both circuits of a 330 kV double</w:t>
      </w:r>
      <w:r w:rsidRPr="009D1832">
        <w:t xml:space="preserve"> circuit transmission line instead of one circuit. </w:t>
      </w:r>
    </w:p>
    <w:p w:rsidR="008E630E" w:rsidRPr="009D1832" w:rsidRDefault="008E630E" w:rsidP="008E630E">
      <w:pPr>
        <w:numPr>
          <w:ilvl w:val="0"/>
          <w:numId w:val="17"/>
        </w:numPr>
        <w:suppressAutoHyphens/>
        <w:spacing w:after="200" w:line="276" w:lineRule="auto"/>
        <w:jc w:val="both"/>
      </w:pPr>
      <w:r w:rsidRPr="009D1832">
        <w:rPr>
          <w:b/>
        </w:rPr>
        <w:t>Adding shunt reactive power devices:</w:t>
      </w:r>
      <w:r w:rsidRPr="009D1832">
        <w:t xml:space="preserve"> Mechanically switched shunt capacitors and </w:t>
      </w:r>
      <w:r>
        <w:t>several variable</w:t>
      </w:r>
      <w:r w:rsidRPr="009D1832">
        <w:t xml:space="preserve"> shunts (</w:t>
      </w:r>
      <w:r>
        <w:t>Potentially a SVC or a combination of mechanically switched shunts and SVC</w:t>
      </w:r>
      <w:r w:rsidRPr="009D1832">
        <w:t xml:space="preserve">) were identified as mitigation measures for voltage violations. </w:t>
      </w:r>
      <w:r>
        <w:t>This is mainly due to low power factor assumed for the load. The proposed</w:t>
      </w:r>
      <w:r w:rsidRPr="009D1832">
        <w:t xml:space="preserve"> reactive power scheme could be used as the initial setting for reactive power study planned by TCN.</w:t>
      </w:r>
      <w:r>
        <w:t xml:space="preserve"> Details are presented in the report.</w:t>
      </w:r>
    </w:p>
    <w:p w:rsidR="008E630E" w:rsidRPr="008E630E" w:rsidRDefault="008E630E" w:rsidP="008E630E">
      <w:pPr>
        <w:pStyle w:val="ListParagraph"/>
        <w:numPr>
          <w:ilvl w:val="0"/>
          <w:numId w:val="17"/>
        </w:numPr>
        <w:contextualSpacing w:val="0"/>
        <w:rPr>
          <w:rFonts w:ascii="Arial" w:hAnsi="Arial" w:cs="Arial"/>
          <w:sz w:val="20"/>
        </w:rPr>
      </w:pPr>
      <w:r w:rsidRPr="008E630E">
        <w:rPr>
          <w:rFonts w:ascii="Arial" w:hAnsi="Arial" w:cs="Arial"/>
          <w:b/>
          <w:sz w:val="20"/>
        </w:rPr>
        <w:t>Building new transmission lines and sub-stations:</w:t>
      </w:r>
      <w:r w:rsidRPr="008E630E">
        <w:rPr>
          <w:rFonts w:ascii="Arial" w:hAnsi="Arial" w:cs="Arial"/>
          <w:sz w:val="20"/>
        </w:rPr>
        <w:t xml:space="preserve"> Building new lines and adding new transformers were identified as the last resort to prevent voltage violations and voltage depressions causing non-converged post-contingency networks. </w:t>
      </w:r>
    </w:p>
    <w:p w:rsidR="008E630E" w:rsidRPr="009D1832" w:rsidRDefault="008E630E" w:rsidP="00535E36">
      <w:pPr>
        <w:suppressAutoHyphens/>
        <w:spacing w:before="240" w:after="200" w:line="276" w:lineRule="auto"/>
        <w:ind w:left="720"/>
        <w:contextualSpacing/>
      </w:pPr>
      <w:r w:rsidRPr="009D1832">
        <w:t>The details of the proposed network additions are</w:t>
      </w:r>
      <w:r w:rsidR="00535E36">
        <w:t xml:space="preserve"> listed in the main body of the attached report. </w:t>
      </w:r>
    </w:p>
    <w:p w:rsidR="008E630E" w:rsidRPr="009D1832" w:rsidRDefault="008E630E" w:rsidP="008E630E">
      <w:pPr>
        <w:suppressAutoHyphens/>
        <w:spacing w:before="240" w:after="200" w:line="276" w:lineRule="auto"/>
        <w:contextualSpacing/>
      </w:pPr>
    </w:p>
    <w:p w:rsidR="008E630E" w:rsidRPr="009D1832" w:rsidRDefault="008E630E" w:rsidP="008E630E">
      <w:pPr>
        <w:numPr>
          <w:ilvl w:val="0"/>
          <w:numId w:val="16"/>
        </w:numPr>
        <w:suppressAutoHyphens/>
        <w:spacing w:after="200" w:line="276" w:lineRule="auto"/>
        <w:jc w:val="both"/>
      </w:pPr>
      <w:r w:rsidRPr="009D1832">
        <w:t xml:space="preserve">A preliminary investigation was carried out to identify system expansion projects which should be prioritized to minimize the system issues and improve system reliability during the </w:t>
      </w:r>
      <w:r>
        <w:t>expansion</w:t>
      </w:r>
      <w:r w:rsidRPr="009D1832">
        <w:t xml:space="preserve"> from 4.5 GW network to 10.0 GW network. Nine projects with system level impacts and twenty </w:t>
      </w:r>
      <w:r>
        <w:t>six</w:t>
      </w:r>
      <w:r w:rsidRPr="009D1832">
        <w:t xml:space="preserve"> projects with area level importance have been identified as projects with high priority.</w:t>
      </w:r>
    </w:p>
    <w:p w:rsidR="00B41418" w:rsidRPr="004C3224" w:rsidRDefault="00B41418">
      <w:pPr>
        <w:spacing w:line="240" w:lineRule="auto"/>
        <w:rPr>
          <w:rFonts w:cs="Arial"/>
          <w:lang w:val="en-GB"/>
        </w:rPr>
      </w:pPr>
      <w:r w:rsidRPr="004C3224">
        <w:rPr>
          <w:rFonts w:cs="Arial"/>
          <w:lang w:val="en-GB"/>
        </w:rPr>
        <w:br w:type="page"/>
      </w:r>
    </w:p>
    <w:p w:rsidR="00B41418" w:rsidRPr="004C3224" w:rsidRDefault="006133B5" w:rsidP="00B41418">
      <w:pPr>
        <w:pStyle w:val="Heading1"/>
        <w:rPr>
          <w:rFonts w:cs="Arial"/>
          <w:lang w:val="en-GB"/>
        </w:rPr>
      </w:pPr>
      <w:bookmarkStart w:id="6" w:name="_Toc381186744"/>
      <w:r>
        <w:rPr>
          <w:rFonts w:cs="Arial"/>
          <w:lang w:val="en-GB"/>
        </w:rPr>
        <w:lastRenderedPageBreak/>
        <w:t>Transmission Development Plan</w:t>
      </w:r>
      <w:bookmarkEnd w:id="6"/>
    </w:p>
    <w:p w:rsidR="00E216C1" w:rsidRDefault="00905B6D" w:rsidP="004859F4">
      <w:pPr>
        <w:jc w:val="both"/>
        <w:rPr>
          <w:rFonts w:cs="Arial"/>
          <w:lang w:val="en-GB"/>
        </w:rPr>
      </w:pPr>
      <w:r>
        <w:rPr>
          <w:rFonts w:cs="Arial"/>
          <w:lang w:val="en-GB"/>
        </w:rPr>
        <w:t>TCN</w:t>
      </w:r>
      <w:r w:rsidR="008E30DF">
        <w:rPr>
          <w:rFonts w:cs="Arial"/>
          <w:lang w:val="en-GB"/>
        </w:rPr>
        <w:t>’s</w:t>
      </w:r>
      <w:r>
        <w:rPr>
          <w:rFonts w:cs="Arial"/>
          <w:lang w:val="en-GB"/>
        </w:rPr>
        <w:t xml:space="preserve"> </w:t>
      </w:r>
      <w:r w:rsidR="005C599B">
        <w:rPr>
          <w:rFonts w:cs="Arial"/>
          <w:lang w:val="en-GB"/>
        </w:rPr>
        <w:t>T</w:t>
      </w:r>
      <w:r>
        <w:rPr>
          <w:rFonts w:cs="Arial"/>
          <w:lang w:val="en-GB"/>
        </w:rPr>
        <w:t xml:space="preserve">ransmission </w:t>
      </w:r>
      <w:r w:rsidR="005C599B">
        <w:rPr>
          <w:rFonts w:cs="Arial"/>
          <w:lang w:val="en-GB"/>
        </w:rPr>
        <w:t>D</w:t>
      </w:r>
      <w:r>
        <w:rPr>
          <w:rFonts w:cs="Arial"/>
          <w:lang w:val="en-GB"/>
        </w:rPr>
        <w:t xml:space="preserve">evelopment </w:t>
      </w:r>
      <w:r w:rsidR="005C599B">
        <w:rPr>
          <w:rFonts w:cs="Arial"/>
          <w:lang w:val="en-GB"/>
        </w:rPr>
        <w:t>P</w:t>
      </w:r>
      <w:r>
        <w:rPr>
          <w:rFonts w:cs="Arial"/>
          <w:lang w:val="en-GB"/>
        </w:rPr>
        <w:t xml:space="preserve">lan </w:t>
      </w:r>
      <w:r w:rsidR="006009E6">
        <w:rPr>
          <w:rFonts w:cs="Arial"/>
          <w:lang w:val="en-GB"/>
        </w:rPr>
        <w:t>include</w:t>
      </w:r>
      <w:r w:rsidR="005C599B">
        <w:rPr>
          <w:rFonts w:cs="Arial"/>
          <w:lang w:val="en-GB"/>
        </w:rPr>
        <w:t xml:space="preserve">s all of the line, substation and voltage compensation projects needed for </w:t>
      </w:r>
      <w:r w:rsidR="008F0360">
        <w:rPr>
          <w:rFonts w:cs="Arial"/>
          <w:lang w:val="en-GB"/>
        </w:rPr>
        <w:t>the 10 GW system model</w:t>
      </w:r>
      <w:r w:rsidR="00355D9E">
        <w:rPr>
          <w:rFonts w:cs="Arial"/>
          <w:lang w:val="en-GB"/>
        </w:rPr>
        <w:t xml:space="preserve"> </w:t>
      </w:r>
      <w:r w:rsidR="005C599B">
        <w:rPr>
          <w:rFonts w:cs="Arial"/>
          <w:lang w:val="en-GB"/>
        </w:rPr>
        <w:t xml:space="preserve">as </w:t>
      </w:r>
      <w:r w:rsidR="00355D9E">
        <w:rPr>
          <w:rFonts w:cs="Arial"/>
          <w:lang w:val="en-GB"/>
        </w:rPr>
        <w:t xml:space="preserve">described in </w:t>
      </w:r>
      <w:r w:rsidR="005C599B">
        <w:rPr>
          <w:rFonts w:cs="Arial"/>
          <w:lang w:val="en-GB"/>
        </w:rPr>
        <w:t xml:space="preserve">Section </w:t>
      </w:r>
      <w:r w:rsidR="00CF05A0">
        <w:rPr>
          <w:rFonts w:cs="Arial"/>
          <w:lang w:val="en-GB"/>
        </w:rPr>
        <w:fldChar w:fldCharType="begin"/>
      </w:r>
      <w:r w:rsidR="005C599B">
        <w:rPr>
          <w:rFonts w:cs="Arial"/>
          <w:lang w:val="en-GB"/>
        </w:rPr>
        <w:instrText xml:space="preserve"> REF _Ref380581358 \r \h </w:instrText>
      </w:r>
      <w:r w:rsidR="00CF05A0">
        <w:rPr>
          <w:rFonts w:cs="Arial"/>
          <w:lang w:val="en-GB"/>
        </w:rPr>
      </w:r>
      <w:r w:rsidR="00CF05A0">
        <w:rPr>
          <w:rFonts w:cs="Arial"/>
          <w:lang w:val="en-GB"/>
        </w:rPr>
        <w:fldChar w:fldCharType="separate"/>
      </w:r>
      <w:r w:rsidR="0056026E">
        <w:rPr>
          <w:rFonts w:cs="Arial"/>
          <w:lang w:val="en-GB"/>
        </w:rPr>
        <w:t>2.0</w:t>
      </w:r>
      <w:r w:rsidR="00CF05A0">
        <w:rPr>
          <w:rFonts w:cs="Arial"/>
          <w:lang w:val="en-GB"/>
        </w:rPr>
        <w:fldChar w:fldCharType="end"/>
      </w:r>
      <w:r w:rsidR="00355D9E">
        <w:rPr>
          <w:rFonts w:cs="Arial"/>
          <w:lang w:val="en-GB"/>
        </w:rPr>
        <w:t xml:space="preserve"> of this report</w:t>
      </w:r>
      <w:r w:rsidR="008F0360" w:rsidRPr="00F32F60">
        <w:rPr>
          <w:rFonts w:cs="Arial"/>
          <w:lang w:val="en-GB"/>
        </w:rPr>
        <w:t>.</w:t>
      </w:r>
      <w:r w:rsidR="008F0360">
        <w:rPr>
          <w:rFonts w:cs="Arial"/>
          <w:lang w:val="en-GB"/>
        </w:rPr>
        <w:t xml:space="preserve">  </w:t>
      </w:r>
      <w:r w:rsidR="00033999">
        <w:rPr>
          <w:rFonts w:cs="Arial"/>
          <w:lang w:val="en-GB"/>
        </w:rPr>
        <w:t xml:space="preserve">The </w:t>
      </w:r>
      <w:r w:rsidR="002278F1">
        <w:rPr>
          <w:rFonts w:cs="Arial"/>
          <w:lang w:val="en-GB"/>
        </w:rPr>
        <w:t>projects are bundled into</w:t>
      </w:r>
      <w:r w:rsidR="00E216C1">
        <w:rPr>
          <w:rFonts w:cs="Arial"/>
          <w:lang w:val="en-GB"/>
        </w:rPr>
        <w:t xml:space="preserve"> the following categories:</w:t>
      </w:r>
    </w:p>
    <w:p w:rsidR="00954E64" w:rsidRDefault="00954E64" w:rsidP="004859F4">
      <w:pPr>
        <w:jc w:val="both"/>
        <w:rPr>
          <w:rFonts w:cs="Arial"/>
          <w:lang w:val="en-GB"/>
        </w:rPr>
      </w:pPr>
    </w:p>
    <w:p w:rsidR="00E216C1" w:rsidRPr="00954E64" w:rsidRDefault="00E216C1" w:rsidP="00E216C1">
      <w:pPr>
        <w:pStyle w:val="ListParagraph"/>
        <w:numPr>
          <w:ilvl w:val="0"/>
          <w:numId w:val="30"/>
        </w:numPr>
        <w:jc w:val="both"/>
        <w:rPr>
          <w:rFonts w:ascii="Arial" w:hAnsi="Arial" w:cs="Arial"/>
          <w:sz w:val="20"/>
          <w:lang w:val="en-GB"/>
        </w:rPr>
      </w:pPr>
      <w:r w:rsidRPr="00954E64">
        <w:rPr>
          <w:rFonts w:ascii="Arial" w:hAnsi="Arial" w:cs="Arial"/>
          <w:sz w:val="20"/>
          <w:lang w:val="en-GB"/>
        </w:rPr>
        <w:t>Rehabilitation of existing facilities</w:t>
      </w:r>
      <w:r w:rsidR="000019A8">
        <w:rPr>
          <w:rFonts w:ascii="Arial" w:hAnsi="Arial" w:cs="Arial"/>
          <w:sz w:val="20"/>
          <w:lang w:val="en-GB"/>
        </w:rPr>
        <w:t xml:space="preserve"> </w:t>
      </w:r>
    </w:p>
    <w:p w:rsidR="005C599B" w:rsidRDefault="00E216C1" w:rsidP="00E216C1">
      <w:pPr>
        <w:pStyle w:val="ListParagraph"/>
        <w:numPr>
          <w:ilvl w:val="0"/>
          <w:numId w:val="30"/>
        </w:numPr>
        <w:jc w:val="both"/>
        <w:rPr>
          <w:rFonts w:ascii="Arial" w:hAnsi="Arial" w:cs="Arial"/>
          <w:sz w:val="20"/>
          <w:lang w:val="en-GB"/>
        </w:rPr>
      </w:pPr>
      <w:r w:rsidRPr="005C599B">
        <w:rPr>
          <w:rFonts w:ascii="Arial" w:hAnsi="Arial" w:cs="Arial"/>
          <w:sz w:val="20"/>
          <w:lang w:val="en-GB"/>
        </w:rPr>
        <w:t xml:space="preserve">Financing </w:t>
      </w:r>
      <w:r w:rsidR="00766C3F" w:rsidRPr="005C599B">
        <w:rPr>
          <w:rFonts w:ascii="Arial" w:hAnsi="Arial" w:cs="Arial"/>
          <w:sz w:val="20"/>
          <w:lang w:val="en-GB"/>
        </w:rPr>
        <w:t>Package 1</w:t>
      </w:r>
      <w:r w:rsidR="00F32F60" w:rsidRPr="005C599B">
        <w:rPr>
          <w:rFonts w:ascii="Arial" w:hAnsi="Arial" w:cs="Arial"/>
          <w:sz w:val="20"/>
          <w:lang w:val="en-GB"/>
        </w:rPr>
        <w:t xml:space="preserve"> </w:t>
      </w:r>
      <w:r w:rsidR="00954E64" w:rsidRPr="005C599B">
        <w:rPr>
          <w:rFonts w:ascii="Arial" w:hAnsi="Arial" w:cs="Arial"/>
          <w:sz w:val="20"/>
          <w:lang w:val="en-GB"/>
        </w:rPr>
        <w:t>–</w:t>
      </w:r>
      <w:r w:rsidR="00766C3F" w:rsidRPr="005C599B">
        <w:rPr>
          <w:rFonts w:ascii="Arial" w:hAnsi="Arial" w:cs="Arial"/>
          <w:sz w:val="20"/>
          <w:lang w:val="en-GB"/>
        </w:rPr>
        <w:t xml:space="preserve"> </w:t>
      </w:r>
      <w:r w:rsidR="00954E64" w:rsidRPr="005C599B">
        <w:rPr>
          <w:rFonts w:ascii="Arial" w:hAnsi="Arial" w:cs="Arial"/>
          <w:sz w:val="20"/>
          <w:lang w:val="en-GB"/>
        </w:rPr>
        <w:t xml:space="preserve">New </w:t>
      </w:r>
      <w:r w:rsidR="008E30DF">
        <w:rPr>
          <w:rFonts w:ascii="Arial" w:hAnsi="Arial" w:cs="Arial"/>
          <w:sz w:val="20"/>
          <w:lang w:val="en-GB"/>
        </w:rPr>
        <w:t>p</w:t>
      </w:r>
      <w:r w:rsidR="002278F1" w:rsidRPr="005C599B">
        <w:rPr>
          <w:rFonts w:ascii="Arial" w:hAnsi="Arial" w:cs="Arial"/>
          <w:sz w:val="20"/>
          <w:lang w:val="en-GB"/>
        </w:rPr>
        <w:t>rojects</w:t>
      </w:r>
      <w:r w:rsidR="00355D9E" w:rsidRPr="005C599B">
        <w:rPr>
          <w:rFonts w:ascii="Arial" w:hAnsi="Arial" w:cs="Arial"/>
          <w:sz w:val="20"/>
          <w:lang w:val="en-GB"/>
        </w:rPr>
        <w:t xml:space="preserve"> </w:t>
      </w:r>
      <w:r w:rsidR="008E30DF">
        <w:rPr>
          <w:rFonts w:ascii="Arial" w:hAnsi="Arial" w:cs="Arial"/>
          <w:sz w:val="20"/>
          <w:lang w:val="en-GB"/>
        </w:rPr>
        <w:t>c</w:t>
      </w:r>
      <w:r w:rsidR="002278F1" w:rsidRPr="005C599B">
        <w:rPr>
          <w:rFonts w:ascii="Arial" w:hAnsi="Arial" w:cs="Arial"/>
          <w:sz w:val="20"/>
          <w:lang w:val="en-GB"/>
        </w:rPr>
        <w:t xml:space="preserve">urrently </w:t>
      </w:r>
      <w:r w:rsidR="008E30DF">
        <w:rPr>
          <w:rFonts w:ascii="Arial" w:hAnsi="Arial" w:cs="Arial"/>
          <w:sz w:val="20"/>
          <w:lang w:val="en-GB"/>
        </w:rPr>
        <w:t>u</w:t>
      </w:r>
      <w:r w:rsidR="002278F1" w:rsidRPr="005C599B">
        <w:rPr>
          <w:rFonts w:ascii="Arial" w:hAnsi="Arial" w:cs="Arial"/>
          <w:sz w:val="20"/>
          <w:lang w:val="en-GB"/>
        </w:rPr>
        <w:t>nderway</w:t>
      </w:r>
      <w:r w:rsidR="00F32F60" w:rsidRPr="005C599B">
        <w:rPr>
          <w:rFonts w:ascii="Arial" w:hAnsi="Arial" w:cs="Arial"/>
          <w:sz w:val="20"/>
          <w:lang w:val="en-GB"/>
        </w:rPr>
        <w:t xml:space="preserve"> </w:t>
      </w:r>
      <w:r w:rsidR="008E30DF">
        <w:rPr>
          <w:rFonts w:ascii="Arial" w:hAnsi="Arial" w:cs="Arial"/>
          <w:sz w:val="20"/>
          <w:lang w:val="en-GB"/>
        </w:rPr>
        <w:t>that need incremental funding</w:t>
      </w:r>
    </w:p>
    <w:p w:rsidR="00033999" w:rsidRDefault="00954E64" w:rsidP="00E216C1">
      <w:pPr>
        <w:pStyle w:val="ListParagraph"/>
        <w:numPr>
          <w:ilvl w:val="0"/>
          <w:numId w:val="30"/>
        </w:numPr>
        <w:jc w:val="both"/>
        <w:rPr>
          <w:rFonts w:ascii="Arial" w:hAnsi="Arial" w:cs="Arial"/>
          <w:sz w:val="20"/>
          <w:lang w:val="en-GB"/>
        </w:rPr>
      </w:pPr>
      <w:r w:rsidRPr="005C599B">
        <w:rPr>
          <w:rFonts w:ascii="Arial" w:hAnsi="Arial" w:cs="Arial"/>
          <w:sz w:val="20"/>
          <w:lang w:val="en-GB"/>
        </w:rPr>
        <w:t xml:space="preserve">Financing </w:t>
      </w:r>
      <w:r w:rsidR="00766C3F" w:rsidRPr="005C599B">
        <w:rPr>
          <w:rFonts w:ascii="Arial" w:hAnsi="Arial" w:cs="Arial"/>
          <w:sz w:val="20"/>
          <w:lang w:val="en-GB"/>
        </w:rPr>
        <w:t xml:space="preserve">Package 2 </w:t>
      </w:r>
      <w:r w:rsidR="005C599B" w:rsidRPr="005C599B">
        <w:rPr>
          <w:rFonts w:ascii="Arial" w:hAnsi="Arial" w:cs="Arial"/>
          <w:sz w:val="20"/>
          <w:lang w:val="en-GB"/>
        </w:rPr>
        <w:t xml:space="preserve">– </w:t>
      </w:r>
      <w:r w:rsidR="002278F1" w:rsidRPr="005C599B">
        <w:rPr>
          <w:rFonts w:ascii="Arial" w:hAnsi="Arial" w:cs="Arial"/>
          <w:sz w:val="20"/>
          <w:lang w:val="en-GB"/>
        </w:rPr>
        <w:t xml:space="preserve">New </w:t>
      </w:r>
      <w:r w:rsidR="008E30DF">
        <w:rPr>
          <w:rFonts w:ascii="Arial" w:hAnsi="Arial" w:cs="Arial"/>
          <w:sz w:val="20"/>
          <w:lang w:val="en-GB"/>
        </w:rPr>
        <w:t>p</w:t>
      </w:r>
      <w:r w:rsidR="002278F1" w:rsidRPr="005C599B">
        <w:rPr>
          <w:rFonts w:ascii="Arial" w:hAnsi="Arial" w:cs="Arial"/>
          <w:sz w:val="20"/>
          <w:lang w:val="en-GB"/>
        </w:rPr>
        <w:t xml:space="preserve">rojects in </w:t>
      </w:r>
      <w:r w:rsidR="008E30DF">
        <w:rPr>
          <w:rFonts w:ascii="Arial" w:hAnsi="Arial" w:cs="Arial"/>
          <w:sz w:val="20"/>
          <w:lang w:val="en-GB"/>
        </w:rPr>
        <w:t>the plan</w:t>
      </w:r>
      <w:r w:rsidR="00766C3F" w:rsidRPr="005C599B">
        <w:rPr>
          <w:rFonts w:ascii="Arial" w:hAnsi="Arial" w:cs="Arial"/>
          <w:sz w:val="20"/>
          <w:lang w:val="en-GB"/>
        </w:rPr>
        <w:t xml:space="preserve"> </w:t>
      </w:r>
      <w:r w:rsidR="005144C6" w:rsidRPr="005C599B">
        <w:rPr>
          <w:rFonts w:ascii="Arial" w:hAnsi="Arial" w:cs="Arial"/>
          <w:sz w:val="20"/>
          <w:lang w:val="en-GB"/>
        </w:rPr>
        <w:t>for 10 GW system</w:t>
      </w:r>
    </w:p>
    <w:p w:rsidR="005C599B" w:rsidRDefault="005C599B" w:rsidP="005C599B">
      <w:pPr>
        <w:jc w:val="both"/>
        <w:rPr>
          <w:rFonts w:cs="Arial"/>
          <w:lang w:val="en-GB"/>
        </w:rPr>
      </w:pPr>
    </w:p>
    <w:p w:rsidR="006009E6" w:rsidRDefault="00D0587D" w:rsidP="005C599B">
      <w:pPr>
        <w:jc w:val="both"/>
        <w:rPr>
          <w:rFonts w:cs="Arial"/>
          <w:lang w:val="en-GB"/>
        </w:rPr>
      </w:pPr>
      <w:r w:rsidRPr="00D0587D">
        <w:rPr>
          <w:rFonts w:cs="Arial"/>
          <w:lang w:val="en-GB"/>
        </w:rPr>
        <w:t xml:space="preserve">TCN has developed </w:t>
      </w:r>
      <w:r>
        <w:rPr>
          <w:rFonts w:cs="Arial"/>
          <w:lang w:val="en-GB"/>
        </w:rPr>
        <w:t xml:space="preserve">a preliminary </w:t>
      </w:r>
      <w:r w:rsidR="00A928D0">
        <w:rPr>
          <w:rFonts w:cs="Arial"/>
          <w:lang w:val="en-GB"/>
        </w:rPr>
        <w:t>list</w:t>
      </w:r>
      <w:r>
        <w:rPr>
          <w:rFonts w:cs="Arial"/>
          <w:lang w:val="en-GB"/>
        </w:rPr>
        <w:t xml:space="preserve"> of </w:t>
      </w:r>
      <w:r w:rsidR="005A403D">
        <w:rPr>
          <w:rFonts w:cs="Arial"/>
          <w:lang w:val="en-GB"/>
        </w:rPr>
        <w:t xml:space="preserve">additional </w:t>
      </w:r>
      <w:r>
        <w:rPr>
          <w:rFonts w:cs="Arial"/>
          <w:lang w:val="en-GB"/>
        </w:rPr>
        <w:t>projects</w:t>
      </w:r>
      <w:r w:rsidR="00A928D0">
        <w:rPr>
          <w:rFonts w:cs="Arial"/>
          <w:lang w:val="en-GB"/>
        </w:rPr>
        <w:t xml:space="preserve"> that will be needed t</w:t>
      </w:r>
      <w:r>
        <w:rPr>
          <w:rFonts w:cs="Arial"/>
          <w:lang w:val="en-GB"/>
        </w:rPr>
        <w:t xml:space="preserve">o increase system capacity from 10 GW to 20 GW.  These projects are grouped into three </w:t>
      </w:r>
      <w:r w:rsidR="008E30DF">
        <w:rPr>
          <w:rFonts w:cs="Arial"/>
          <w:lang w:val="en-GB"/>
        </w:rPr>
        <w:t xml:space="preserve">additional </w:t>
      </w:r>
      <w:r>
        <w:rPr>
          <w:rFonts w:cs="Arial"/>
          <w:lang w:val="en-GB"/>
        </w:rPr>
        <w:t>financing packages consistent with the staged development of the system.</w:t>
      </w:r>
    </w:p>
    <w:p w:rsidR="00E216C1" w:rsidRPr="004C3224" w:rsidRDefault="00E216C1" w:rsidP="00714A27">
      <w:pPr>
        <w:pStyle w:val="Heading2"/>
      </w:pPr>
      <w:bookmarkStart w:id="7" w:name="_Toc381186745"/>
      <w:r>
        <w:t>Rehabilitation of Existing Facilities</w:t>
      </w:r>
      <w:bookmarkEnd w:id="7"/>
      <w:r>
        <w:t xml:space="preserve"> </w:t>
      </w:r>
    </w:p>
    <w:p w:rsidR="00E216C1" w:rsidRPr="00BF06E4" w:rsidRDefault="00E216C1" w:rsidP="00E216C1">
      <w:pPr>
        <w:suppressAutoHyphens/>
      </w:pPr>
      <w:r w:rsidRPr="00BF06E4">
        <w:t xml:space="preserve">MHI and TCN </w:t>
      </w:r>
      <w:r w:rsidR="00067C48">
        <w:t>surveyed</w:t>
      </w:r>
      <w:r w:rsidRPr="00BF06E4">
        <w:t xml:space="preserve"> the rehabilitation requirements for each of the eight </w:t>
      </w:r>
      <w:r>
        <w:t xml:space="preserve">transmission </w:t>
      </w:r>
      <w:r w:rsidRPr="00BF06E4">
        <w:t>regions within TSP</w:t>
      </w:r>
      <w:r>
        <w:t xml:space="preserve">, </w:t>
      </w:r>
      <w:r w:rsidR="00067C48">
        <w:t xml:space="preserve">as shown in </w:t>
      </w:r>
      <w:r w:rsidR="00CF05A0">
        <w:fldChar w:fldCharType="begin"/>
      </w:r>
      <w:r>
        <w:instrText xml:space="preserve"> REF _Ref380572537 \h </w:instrText>
      </w:r>
      <w:r w:rsidR="00CF05A0">
        <w:fldChar w:fldCharType="separate"/>
      </w:r>
      <w:r w:rsidR="0056026E">
        <w:t xml:space="preserve">Table </w:t>
      </w:r>
      <w:r w:rsidR="0056026E">
        <w:rPr>
          <w:noProof/>
        </w:rPr>
        <w:t>3</w:t>
      </w:r>
      <w:r w:rsidR="0056026E">
        <w:noBreakHyphen/>
      </w:r>
      <w:r w:rsidR="0056026E">
        <w:rPr>
          <w:noProof/>
        </w:rPr>
        <w:t>1</w:t>
      </w:r>
      <w:r w:rsidR="00CF05A0">
        <w:fldChar w:fldCharType="end"/>
      </w:r>
      <w:r w:rsidR="00067C48">
        <w:t xml:space="preserve">.  </w:t>
      </w:r>
      <w:r>
        <w:t>In addition</w:t>
      </w:r>
      <w:r w:rsidR="00067C48">
        <w:t xml:space="preserve"> to the costs developed through the survey, NIAF has identified the costs for </w:t>
      </w:r>
      <w:r w:rsidR="008E30DF">
        <w:t>other</w:t>
      </w:r>
      <w:r w:rsidR="00067C48">
        <w:t xml:space="preserve"> likely rehabilitation requirements using an age methodology applied to the entire network</w:t>
      </w:r>
      <w:r w:rsidR="008C04DE">
        <w:t xml:space="preserve">, as described further in </w:t>
      </w:r>
      <w:r w:rsidR="00CF05A0">
        <w:fldChar w:fldCharType="begin"/>
      </w:r>
      <w:r w:rsidR="008F7B68">
        <w:instrText xml:space="preserve"> REF _Ref381092985 \w \h </w:instrText>
      </w:r>
      <w:r w:rsidR="00CF05A0">
        <w:fldChar w:fldCharType="separate"/>
      </w:r>
      <w:r w:rsidR="0056026E">
        <w:t>Appendix G</w:t>
      </w:r>
      <w:r w:rsidR="00CF05A0">
        <w:fldChar w:fldCharType="end"/>
      </w:r>
      <w:r w:rsidR="00067C48">
        <w:t xml:space="preserve">, and these funding amounts were added to bring the total to approximately $947 Million USD.  None of these rehabilitation projects is funded at present.  </w:t>
      </w:r>
    </w:p>
    <w:p w:rsidR="00E216C1" w:rsidRDefault="00E216C1" w:rsidP="00E216C1">
      <w:pPr>
        <w:suppressAutoHyphens/>
      </w:pPr>
    </w:p>
    <w:p w:rsidR="00E216C1" w:rsidRDefault="00E216C1" w:rsidP="00E216C1">
      <w:pPr>
        <w:pStyle w:val="Caption"/>
      </w:pPr>
      <w:bookmarkStart w:id="8" w:name="_Ref380572537"/>
      <w:r>
        <w:t xml:space="preserve">Table </w:t>
      </w:r>
      <w:r w:rsidR="00CF05A0">
        <w:fldChar w:fldCharType="begin"/>
      </w:r>
      <w:r w:rsidR="006D7424">
        <w:instrText xml:space="preserve"> STYLEREF 1 \s </w:instrText>
      </w:r>
      <w:r w:rsidR="00CF05A0">
        <w:fldChar w:fldCharType="separate"/>
      </w:r>
      <w:r w:rsidR="0056026E">
        <w:rPr>
          <w:noProof/>
        </w:rPr>
        <w:t>3</w:t>
      </w:r>
      <w:r w:rsidR="00CF05A0">
        <w:rPr>
          <w:noProof/>
        </w:rPr>
        <w:fldChar w:fldCharType="end"/>
      </w:r>
      <w:r w:rsidR="00B2235A">
        <w:noBreakHyphen/>
      </w:r>
      <w:r w:rsidR="00CF05A0">
        <w:fldChar w:fldCharType="begin"/>
      </w:r>
      <w:r w:rsidR="006D7424">
        <w:instrText xml:space="preserve"> SEQ Table \* ARABIC \s 1 </w:instrText>
      </w:r>
      <w:r w:rsidR="00CF05A0">
        <w:fldChar w:fldCharType="separate"/>
      </w:r>
      <w:r w:rsidR="0056026E">
        <w:rPr>
          <w:noProof/>
        </w:rPr>
        <w:t>1</w:t>
      </w:r>
      <w:r w:rsidR="00CF05A0">
        <w:rPr>
          <w:noProof/>
        </w:rPr>
        <w:fldChar w:fldCharType="end"/>
      </w:r>
      <w:bookmarkEnd w:id="8"/>
      <w:r>
        <w:t xml:space="preserve">: </w:t>
      </w:r>
      <w:r w:rsidRPr="00D12904">
        <w:t>Rehabilitation and Repair Costs by Region</w:t>
      </w:r>
    </w:p>
    <w:tbl>
      <w:tblPr>
        <w:tblW w:w="8503" w:type="dxa"/>
        <w:tblInd w:w="93" w:type="dxa"/>
        <w:tblLook w:val="04A0"/>
      </w:tblPr>
      <w:tblGrid>
        <w:gridCol w:w="4346"/>
        <w:gridCol w:w="4157"/>
      </w:tblGrid>
      <w:tr w:rsidR="00E216C1" w:rsidRPr="00EC3F73" w:rsidTr="00172B56">
        <w:trPr>
          <w:trHeight w:val="666"/>
        </w:trPr>
        <w:tc>
          <w:tcPr>
            <w:tcW w:w="4346"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E216C1" w:rsidRPr="00EC3F73" w:rsidRDefault="00E216C1" w:rsidP="00172B56">
            <w:pPr>
              <w:spacing w:line="240" w:lineRule="auto"/>
              <w:rPr>
                <w:rFonts w:ascii="Calibri" w:eastAsia="Times New Roman" w:hAnsi="Calibri"/>
                <w:b/>
                <w:bCs/>
                <w:color w:val="000000"/>
                <w:sz w:val="22"/>
                <w:szCs w:val="22"/>
                <w:lang w:eastAsia="en-CA"/>
              </w:rPr>
            </w:pPr>
            <w:r w:rsidRPr="00EC3F73">
              <w:rPr>
                <w:rFonts w:ascii="Calibri" w:eastAsia="Times New Roman" w:hAnsi="Calibri"/>
                <w:b/>
                <w:bCs/>
                <w:color w:val="000000"/>
                <w:sz w:val="22"/>
                <w:szCs w:val="22"/>
                <w:lang w:eastAsia="en-CA"/>
              </w:rPr>
              <w:t>Region</w:t>
            </w:r>
          </w:p>
        </w:tc>
        <w:tc>
          <w:tcPr>
            <w:tcW w:w="4157" w:type="dxa"/>
            <w:tcBorders>
              <w:top w:val="single" w:sz="4" w:space="0" w:color="auto"/>
              <w:left w:val="nil"/>
              <w:bottom w:val="single" w:sz="4" w:space="0" w:color="auto"/>
              <w:right w:val="single" w:sz="4" w:space="0" w:color="auto"/>
            </w:tcBorders>
            <w:shd w:val="clear" w:color="000000" w:fill="D9D9D9"/>
            <w:noWrap/>
            <w:vAlign w:val="center"/>
            <w:hideMark/>
          </w:tcPr>
          <w:p w:rsidR="00E216C1" w:rsidRPr="00EC3F73" w:rsidRDefault="00E216C1" w:rsidP="00172B56">
            <w:pPr>
              <w:spacing w:line="240" w:lineRule="auto"/>
              <w:rPr>
                <w:rFonts w:ascii="Calibri" w:eastAsia="Times New Roman" w:hAnsi="Calibri"/>
                <w:b/>
                <w:bCs/>
                <w:color w:val="000000"/>
                <w:sz w:val="22"/>
                <w:szCs w:val="22"/>
                <w:lang w:eastAsia="en-CA"/>
              </w:rPr>
            </w:pPr>
            <w:r w:rsidRPr="00EC3F73">
              <w:rPr>
                <w:rFonts w:ascii="Calibri" w:eastAsia="Times New Roman" w:hAnsi="Calibri"/>
                <w:b/>
                <w:bCs/>
                <w:color w:val="000000"/>
                <w:sz w:val="22"/>
                <w:szCs w:val="22"/>
                <w:lang w:eastAsia="en-CA"/>
              </w:rPr>
              <w:t>Subtotal</w:t>
            </w:r>
          </w:p>
        </w:tc>
      </w:tr>
      <w:tr w:rsidR="00E216C1" w:rsidRPr="00EC3F73" w:rsidTr="00172B56">
        <w:trPr>
          <w:trHeight w:val="392"/>
        </w:trPr>
        <w:tc>
          <w:tcPr>
            <w:tcW w:w="4346" w:type="dxa"/>
            <w:tcBorders>
              <w:top w:val="nil"/>
              <w:left w:val="single" w:sz="4" w:space="0" w:color="auto"/>
              <w:bottom w:val="single" w:sz="4" w:space="0" w:color="auto"/>
              <w:right w:val="single" w:sz="4" w:space="0" w:color="auto"/>
            </w:tcBorders>
            <w:shd w:val="clear" w:color="auto" w:fill="auto"/>
            <w:noWrap/>
            <w:vAlign w:val="bottom"/>
            <w:hideMark/>
          </w:tcPr>
          <w:p w:rsidR="00E216C1" w:rsidRPr="00EC3F73" w:rsidRDefault="00E216C1" w:rsidP="00172B56">
            <w:pPr>
              <w:spacing w:line="240" w:lineRule="auto"/>
              <w:rPr>
                <w:rFonts w:ascii="Calibri" w:eastAsia="Times New Roman" w:hAnsi="Calibri"/>
                <w:color w:val="000000"/>
                <w:sz w:val="22"/>
                <w:szCs w:val="22"/>
                <w:lang w:eastAsia="en-CA"/>
              </w:rPr>
            </w:pPr>
            <w:r w:rsidRPr="00EC3F73">
              <w:rPr>
                <w:rFonts w:ascii="Calibri" w:eastAsia="Times New Roman" w:hAnsi="Calibri"/>
                <w:color w:val="000000"/>
                <w:sz w:val="22"/>
                <w:szCs w:val="22"/>
                <w:lang w:eastAsia="en-CA"/>
              </w:rPr>
              <w:t>Kaduna</w:t>
            </w:r>
          </w:p>
        </w:tc>
        <w:tc>
          <w:tcPr>
            <w:tcW w:w="4157" w:type="dxa"/>
            <w:tcBorders>
              <w:top w:val="nil"/>
              <w:left w:val="nil"/>
              <w:bottom w:val="single" w:sz="4" w:space="0" w:color="auto"/>
              <w:right w:val="single" w:sz="4" w:space="0" w:color="auto"/>
            </w:tcBorders>
            <w:shd w:val="clear" w:color="auto" w:fill="auto"/>
            <w:noWrap/>
            <w:vAlign w:val="bottom"/>
            <w:hideMark/>
          </w:tcPr>
          <w:p w:rsidR="00E216C1" w:rsidRPr="00EC3F73" w:rsidRDefault="00E216C1" w:rsidP="00172B56">
            <w:pPr>
              <w:spacing w:line="240" w:lineRule="auto"/>
              <w:jc w:val="right"/>
              <w:rPr>
                <w:rFonts w:ascii="Calibri" w:eastAsia="Times New Roman" w:hAnsi="Calibri"/>
                <w:color w:val="000000"/>
                <w:sz w:val="22"/>
                <w:szCs w:val="22"/>
                <w:lang w:eastAsia="en-CA"/>
              </w:rPr>
            </w:pPr>
            <w:r w:rsidRPr="00EC3F73">
              <w:rPr>
                <w:rFonts w:ascii="Calibri" w:eastAsia="Times New Roman" w:hAnsi="Calibri"/>
                <w:color w:val="000000"/>
                <w:sz w:val="22"/>
                <w:szCs w:val="22"/>
                <w:lang w:eastAsia="en-CA"/>
              </w:rPr>
              <w:t>10,325,722,661</w:t>
            </w:r>
          </w:p>
        </w:tc>
      </w:tr>
      <w:tr w:rsidR="00E216C1" w:rsidRPr="00EC3F73" w:rsidTr="00172B56">
        <w:trPr>
          <w:trHeight w:val="392"/>
        </w:trPr>
        <w:tc>
          <w:tcPr>
            <w:tcW w:w="4346" w:type="dxa"/>
            <w:tcBorders>
              <w:top w:val="nil"/>
              <w:left w:val="single" w:sz="4" w:space="0" w:color="auto"/>
              <w:bottom w:val="single" w:sz="4" w:space="0" w:color="auto"/>
              <w:right w:val="single" w:sz="4" w:space="0" w:color="auto"/>
            </w:tcBorders>
            <w:shd w:val="clear" w:color="auto" w:fill="auto"/>
            <w:noWrap/>
            <w:vAlign w:val="bottom"/>
            <w:hideMark/>
          </w:tcPr>
          <w:p w:rsidR="00E216C1" w:rsidRPr="00EC3F73" w:rsidRDefault="00E216C1" w:rsidP="00172B56">
            <w:pPr>
              <w:spacing w:line="240" w:lineRule="auto"/>
              <w:rPr>
                <w:rFonts w:ascii="Calibri" w:eastAsia="Times New Roman" w:hAnsi="Calibri"/>
                <w:color w:val="000000"/>
                <w:sz w:val="22"/>
                <w:szCs w:val="22"/>
                <w:lang w:eastAsia="en-CA"/>
              </w:rPr>
            </w:pPr>
            <w:r w:rsidRPr="00EC3F73">
              <w:rPr>
                <w:rFonts w:ascii="Calibri" w:eastAsia="Times New Roman" w:hAnsi="Calibri"/>
                <w:color w:val="000000"/>
                <w:sz w:val="22"/>
                <w:szCs w:val="22"/>
                <w:lang w:eastAsia="en-CA"/>
              </w:rPr>
              <w:t>Enugu</w:t>
            </w:r>
          </w:p>
        </w:tc>
        <w:tc>
          <w:tcPr>
            <w:tcW w:w="4157" w:type="dxa"/>
            <w:tcBorders>
              <w:top w:val="nil"/>
              <w:left w:val="nil"/>
              <w:bottom w:val="single" w:sz="4" w:space="0" w:color="auto"/>
              <w:right w:val="single" w:sz="4" w:space="0" w:color="auto"/>
            </w:tcBorders>
            <w:shd w:val="clear" w:color="auto" w:fill="auto"/>
            <w:noWrap/>
            <w:vAlign w:val="bottom"/>
            <w:hideMark/>
          </w:tcPr>
          <w:p w:rsidR="00E216C1" w:rsidRPr="00EC3F73" w:rsidRDefault="00E216C1" w:rsidP="00172B56">
            <w:pPr>
              <w:spacing w:line="240" w:lineRule="auto"/>
              <w:jc w:val="right"/>
              <w:rPr>
                <w:rFonts w:ascii="Calibri" w:eastAsia="Times New Roman" w:hAnsi="Calibri"/>
                <w:color w:val="000000"/>
                <w:sz w:val="22"/>
                <w:szCs w:val="22"/>
                <w:lang w:eastAsia="en-CA"/>
              </w:rPr>
            </w:pPr>
            <w:r w:rsidRPr="00EC3F73">
              <w:rPr>
                <w:rFonts w:ascii="Calibri" w:eastAsia="Times New Roman" w:hAnsi="Calibri"/>
                <w:color w:val="000000"/>
                <w:sz w:val="22"/>
                <w:szCs w:val="22"/>
                <w:lang w:eastAsia="en-CA"/>
              </w:rPr>
              <w:t>5,935,158,643</w:t>
            </w:r>
          </w:p>
        </w:tc>
      </w:tr>
      <w:tr w:rsidR="00E216C1" w:rsidRPr="00EC3F73" w:rsidTr="00172B56">
        <w:trPr>
          <w:trHeight w:val="392"/>
        </w:trPr>
        <w:tc>
          <w:tcPr>
            <w:tcW w:w="4346" w:type="dxa"/>
            <w:tcBorders>
              <w:top w:val="nil"/>
              <w:left w:val="single" w:sz="4" w:space="0" w:color="auto"/>
              <w:bottom w:val="single" w:sz="4" w:space="0" w:color="auto"/>
              <w:right w:val="single" w:sz="4" w:space="0" w:color="auto"/>
            </w:tcBorders>
            <w:shd w:val="clear" w:color="auto" w:fill="auto"/>
            <w:noWrap/>
            <w:vAlign w:val="bottom"/>
            <w:hideMark/>
          </w:tcPr>
          <w:p w:rsidR="00E216C1" w:rsidRPr="00EC3F73" w:rsidRDefault="00E216C1" w:rsidP="00172B56">
            <w:pPr>
              <w:spacing w:line="240" w:lineRule="auto"/>
              <w:rPr>
                <w:rFonts w:ascii="Calibri" w:eastAsia="Times New Roman" w:hAnsi="Calibri"/>
                <w:color w:val="000000"/>
                <w:sz w:val="22"/>
                <w:szCs w:val="22"/>
                <w:lang w:eastAsia="en-CA"/>
              </w:rPr>
            </w:pPr>
            <w:proofErr w:type="spellStart"/>
            <w:r w:rsidRPr="00EC3F73">
              <w:rPr>
                <w:rFonts w:ascii="Calibri" w:eastAsia="Times New Roman" w:hAnsi="Calibri"/>
                <w:color w:val="000000"/>
                <w:sz w:val="22"/>
                <w:szCs w:val="22"/>
                <w:lang w:eastAsia="en-CA"/>
              </w:rPr>
              <w:t>Bauchi</w:t>
            </w:r>
            <w:proofErr w:type="spellEnd"/>
          </w:p>
        </w:tc>
        <w:tc>
          <w:tcPr>
            <w:tcW w:w="4157" w:type="dxa"/>
            <w:tcBorders>
              <w:top w:val="nil"/>
              <w:left w:val="nil"/>
              <w:bottom w:val="single" w:sz="4" w:space="0" w:color="auto"/>
              <w:right w:val="single" w:sz="4" w:space="0" w:color="auto"/>
            </w:tcBorders>
            <w:shd w:val="clear" w:color="auto" w:fill="auto"/>
            <w:noWrap/>
            <w:vAlign w:val="bottom"/>
            <w:hideMark/>
          </w:tcPr>
          <w:p w:rsidR="00E216C1" w:rsidRPr="00EC3F73" w:rsidRDefault="00E216C1" w:rsidP="00172B56">
            <w:pPr>
              <w:spacing w:line="240" w:lineRule="auto"/>
              <w:jc w:val="right"/>
              <w:rPr>
                <w:rFonts w:ascii="Calibri" w:eastAsia="Times New Roman" w:hAnsi="Calibri"/>
                <w:color w:val="000000"/>
                <w:sz w:val="22"/>
                <w:szCs w:val="22"/>
                <w:lang w:eastAsia="en-CA"/>
              </w:rPr>
            </w:pPr>
            <w:r w:rsidRPr="00EC3F73">
              <w:rPr>
                <w:rFonts w:ascii="Calibri" w:eastAsia="Times New Roman" w:hAnsi="Calibri"/>
                <w:color w:val="000000"/>
                <w:sz w:val="22"/>
                <w:szCs w:val="22"/>
                <w:lang w:eastAsia="en-CA"/>
              </w:rPr>
              <w:t>14,011,765,700</w:t>
            </w:r>
          </w:p>
        </w:tc>
      </w:tr>
      <w:tr w:rsidR="00E216C1" w:rsidRPr="00EC3F73" w:rsidTr="00172B56">
        <w:trPr>
          <w:trHeight w:val="392"/>
        </w:trPr>
        <w:tc>
          <w:tcPr>
            <w:tcW w:w="4346" w:type="dxa"/>
            <w:tcBorders>
              <w:top w:val="nil"/>
              <w:left w:val="single" w:sz="4" w:space="0" w:color="auto"/>
              <w:bottom w:val="single" w:sz="4" w:space="0" w:color="auto"/>
              <w:right w:val="single" w:sz="4" w:space="0" w:color="auto"/>
            </w:tcBorders>
            <w:shd w:val="clear" w:color="auto" w:fill="auto"/>
            <w:noWrap/>
            <w:vAlign w:val="bottom"/>
            <w:hideMark/>
          </w:tcPr>
          <w:p w:rsidR="00E216C1" w:rsidRPr="00EC3F73" w:rsidRDefault="00E216C1" w:rsidP="00172B56">
            <w:pPr>
              <w:spacing w:line="240" w:lineRule="auto"/>
              <w:rPr>
                <w:rFonts w:ascii="Calibri" w:eastAsia="Times New Roman" w:hAnsi="Calibri"/>
                <w:color w:val="000000"/>
                <w:sz w:val="22"/>
                <w:szCs w:val="22"/>
                <w:lang w:eastAsia="en-CA"/>
              </w:rPr>
            </w:pPr>
            <w:proofErr w:type="spellStart"/>
            <w:r w:rsidRPr="00EC3F73">
              <w:rPr>
                <w:rFonts w:ascii="Calibri" w:eastAsia="Times New Roman" w:hAnsi="Calibri"/>
                <w:color w:val="000000"/>
                <w:sz w:val="22"/>
                <w:szCs w:val="22"/>
                <w:lang w:eastAsia="en-CA"/>
              </w:rPr>
              <w:t>Shiroro</w:t>
            </w:r>
            <w:proofErr w:type="spellEnd"/>
          </w:p>
        </w:tc>
        <w:tc>
          <w:tcPr>
            <w:tcW w:w="4157" w:type="dxa"/>
            <w:tcBorders>
              <w:top w:val="nil"/>
              <w:left w:val="nil"/>
              <w:bottom w:val="single" w:sz="4" w:space="0" w:color="auto"/>
              <w:right w:val="single" w:sz="4" w:space="0" w:color="auto"/>
            </w:tcBorders>
            <w:shd w:val="clear" w:color="auto" w:fill="auto"/>
            <w:noWrap/>
            <w:vAlign w:val="bottom"/>
            <w:hideMark/>
          </w:tcPr>
          <w:p w:rsidR="00E216C1" w:rsidRPr="00EC3F73" w:rsidRDefault="00E216C1" w:rsidP="00172B56">
            <w:pPr>
              <w:spacing w:line="240" w:lineRule="auto"/>
              <w:jc w:val="right"/>
              <w:rPr>
                <w:rFonts w:ascii="Calibri" w:eastAsia="Times New Roman" w:hAnsi="Calibri"/>
                <w:color w:val="000000"/>
                <w:sz w:val="22"/>
                <w:szCs w:val="22"/>
                <w:lang w:eastAsia="en-CA"/>
              </w:rPr>
            </w:pPr>
            <w:r w:rsidRPr="00EC3F73">
              <w:rPr>
                <w:rFonts w:ascii="Calibri" w:eastAsia="Times New Roman" w:hAnsi="Calibri"/>
                <w:color w:val="000000"/>
                <w:sz w:val="22"/>
                <w:szCs w:val="22"/>
                <w:lang w:eastAsia="en-CA"/>
              </w:rPr>
              <w:t>1,632,955,280</w:t>
            </w:r>
          </w:p>
        </w:tc>
      </w:tr>
      <w:tr w:rsidR="00E216C1" w:rsidRPr="00EC3F73" w:rsidTr="00172B56">
        <w:trPr>
          <w:trHeight w:val="392"/>
        </w:trPr>
        <w:tc>
          <w:tcPr>
            <w:tcW w:w="4346" w:type="dxa"/>
            <w:tcBorders>
              <w:top w:val="nil"/>
              <w:left w:val="single" w:sz="4" w:space="0" w:color="auto"/>
              <w:bottom w:val="single" w:sz="4" w:space="0" w:color="auto"/>
              <w:right w:val="single" w:sz="4" w:space="0" w:color="auto"/>
            </w:tcBorders>
            <w:shd w:val="clear" w:color="auto" w:fill="auto"/>
            <w:noWrap/>
            <w:vAlign w:val="bottom"/>
            <w:hideMark/>
          </w:tcPr>
          <w:p w:rsidR="00E216C1" w:rsidRPr="00EC3F73" w:rsidRDefault="00E216C1" w:rsidP="00172B56">
            <w:pPr>
              <w:spacing w:line="240" w:lineRule="auto"/>
              <w:rPr>
                <w:rFonts w:ascii="Calibri" w:eastAsia="Times New Roman" w:hAnsi="Calibri"/>
                <w:color w:val="000000"/>
                <w:sz w:val="22"/>
                <w:szCs w:val="22"/>
                <w:lang w:eastAsia="en-CA"/>
              </w:rPr>
            </w:pPr>
            <w:r w:rsidRPr="00EC3F73">
              <w:rPr>
                <w:rFonts w:ascii="Calibri" w:eastAsia="Times New Roman" w:hAnsi="Calibri"/>
                <w:color w:val="000000"/>
                <w:sz w:val="22"/>
                <w:szCs w:val="22"/>
                <w:lang w:eastAsia="en-CA"/>
              </w:rPr>
              <w:t>Benin</w:t>
            </w:r>
          </w:p>
        </w:tc>
        <w:tc>
          <w:tcPr>
            <w:tcW w:w="4157" w:type="dxa"/>
            <w:tcBorders>
              <w:top w:val="nil"/>
              <w:left w:val="nil"/>
              <w:bottom w:val="single" w:sz="4" w:space="0" w:color="auto"/>
              <w:right w:val="single" w:sz="4" w:space="0" w:color="auto"/>
            </w:tcBorders>
            <w:shd w:val="clear" w:color="auto" w:fill="auto"/>
            <w:noWrap/>
            <w:vAlign w:val="bottom"/>
            <w:hideMark/>
          </w:tcPr>
          <w:p w:rsidR="00E216C1" w:rsidRPr="00EC3F73" w:rsidRDefault="00E216C1" w:rsidP="00172B56">
            <w:pPr>
              <w:spacing w:line="240" w:lineRule="auto"/>
              <w:jc w:val="right"/>
              <w:rPr>
                <w:rFonts w:ascii="Calibri" w:eastAsia="Times New Roman" w:hAnsi="Calibri"/>
                <w:color w:val="000000"/>
                <w:sz w:val="22"/>
                <w:szCs w:val="22"/>
                <w:lang w:eastAsia="en-CA"/>
              </w:rPr>
            </w:pPr>
            <w:r w:rsidRPr="00EC3F73">
              <w:rPr>
                <w:rFonts w:ascii="Calibri" w:eastAsia="Times New Roman" w:hAnsi="Calibri"/>
                <w:color w:val="000000"/>
                <w:sz w:val="22"/>
                <w:szCs w:val="22"/>
                <w:lang w:eastAsia="en-CA"/>
              </w:rPr>
              <w:t>1,216,297,000</w:t>
            </w:r>
          </w:p>
        </w:tc>
      </w:tr>
      <w:tr w:rsidR="00E216C1" w:rsidRPr="00EC3F73" w:rsidTr="00172B56">
        <w:trPr>
          <w:trHeight w:val="392"/>
        </w:trPr>
        <w:tc>
          <w:tcPr>
            <w:tcW w:w="4346" w:type="dxa"/>
            <w:tcBorders>
              <w:top w:val="nil"/>
              <w:left w:val="single" w:sz="4" w:space="0" w:color="auto"/>
              <w:bottom w:val="single" w:sz="4" w:space="0" w:color="auto"/>
              <w:right w:val="single" w:sz="4" w:space="0" w:color="auto"/>
            </w:tcBorders>
            <w:shd w:val="clear" w:color="auto" w:fill="auto"/>
            <w:noWrap/>
            <w:vAlign w:val="bottom"/>
            <w:hideMark/>
          </w:tcPr>
          <w:p w:rsidR="00E216C1" w:rsidRPr="00EC3F73" w:rsidRDefault="00E216C1" w:rsidP="00172B56">
            <w:pPr>
              <w:spacing w:line="240" w:lineRule="auto"/>
              <w:rPr>
                <w:rFonts w:ascii="Calibri" w:eastAsia="Times New Roman" w:hAnsi="Calibri"/>
                <w:color w:val="000000"/>
                <w:sz w:val="22"/>
                <w:szCs w:val="22"/>
                <w:lang w:eastAsia="en-CA"/>
              </w:rPr>
            </w:pPr>
            <w:proofErr w:type="spellStart"/>
            <w:r w:rsidRPr="00EC3F73">
              <w:rPr>
                <w:rFonts w:ascii="Calibri" w:eastAsia="Times New Roman" w:hAnsi="Calibri"/>
                <w:color w:val="000000"/>
                <w:sz w:val="22"/>
                <w:szCs w:val="22"/>
                <w:lang w:eastAsia="en-CA"/>
              </w:rPr>
              <w:t>Osogbo</w:t>
            </w:r>
            <w:proofErr w:type="spellEnd"/>
          </w:p>
        </w:tc>
        <w:tc>
          <w:tcPr>
            <w:tcW w:w="4157" w:type="dxa"/>
            <w:tcBorders>
              <w:top w:val="nil"/>
              <w:left w:val="nil"/>
              <w:bottom w:val="single" w:sz="4" w:space="0" w:color="auto"/>
              <w:right w:val="single" w:sz="4" w:space="0" w:color="auto"/>
            </w:tcBorders>
            <w:shd w:val="clear" w:color="auto" w:fill="auto"/>
            <w:noWrap/>
            <w:vAlign w:val="bottom"/>
            <w:hideMark/>
          </w:tcPr>
          <w:p w:rsidR="00E216C1" w:rsidRPr="00EC3F73" w:rsidRDefault="00E216C1" w:rsidP="00172B56">
            <w:pPr>
              <w:spacing w:line="240" w:lineRule="auto"/>
              <w:jc w:val="right"/>
              <w:rPr>
                <w:rFonts w:ascii="Calibri" w:eastAsia="Times New Roman" w:hAnsi="Calibri"/>
                <w:color w:val="000000"/>
                <w:sz w:val="22"/>
                <w:szCs w:val="22"/>
                <w:lang w:eastAsia="en-CA"/>
              </w:rPr>
            </w:pPr>
            <w:r w:rsidRPr="00EC3F73">
              <w:rPr>
                <w:rFonts w:ascii="Calibri" w:eastAsia="Times New Roman" w:hAnsi="Calibri"/>
                <w:color w:val="000000"/>
                <w:sz w:val="22"/>
                <w:szCs w:val="22"/>
                <w:lang w:eastAsia="en-CA"/>
              </w:rPr>
              <w:t>10,727,214,163</w:t>
            </w:r>
          </w:p>
        </w:tc>
      </w:tr>
      <w:tr w:rsidR="00E216C1" w:rsidRPr="00EC3F73" w:rsidTr="00172B56">
        <w:trPr>
          <w:trHeight w:val="411"/>
        </w:trPr>
        <w:tc>
          <w:tcPr>
            <w:tcW w:w="4346" w:type="dxa"/>
            <w:tcBorders>
              <w:top w:val="nil"/>
              <w:left w:val="single" w:sz="4" w:space="0" w:color="auto"/>
              <w:bottom w:val="single" w:sz="12" w:space="0" w:color="auto"/>
              <w:right w:val="single" w:sz="4" w:space="0" w:color="auto"/>
            </w:tcBorders>
            <w:shd w:val="clear" w:color="auto" w:fill="auto"/>
            <w:noWrap/>
            <w:vAlign w:val="bottom"/>
            <w:hideMark/>
          </w:tcPr>
          <w:p w:rsidR="00E216C1" w:rsidRPr="00EC3F73" w:rsidRDefault="00E216C1" w:rsidP="00172B56">
            <w:pPr>
              <w:spacing w:line="240" w:lineRule="auto"/>
              <w:rPr>
                <w:rFonts w:ascii="Calibri" w:eastAsia="Times New Roman" w:hAnsi="Calibri"/>
                <w:color w:val="000000"/>
                <w:sz w:val="22"/>
                <w:szCs w:val="22"/>
                <w:lang w:eastAsia="en-CA"/>
              </w:rPr>
            </w:pPr>
            <w:r w:rsidRPr="00EC3F73">
              <w:rPr>
                <w:rFonts w:ascii="Calibri" w:eastAsia="Times New Roman" w:hAnsi="Calibri"/>
                <w:color w:val="000000"/>
                <w:sz w:val="22"/>
                <w:szCs w:val="22"/>
                <w:lang w:eastAsia="en-CA"/>
              </w:rPr>
              <w:t>Port Harcourt</w:t>
            </w:r>
          </w:p>
        </w:tc>
        <w:tc>
          <w:tcPr>
            <w:tcW w:w="4157" w:type="dxa"/>
            <w:tcBorders>
              <w:top w:val="nil"/>
              <w:left w:val="nil"/>
              <w:bottom w:val="single" w:sz="12" w:space="0" w:color="auto"/>
              <w:right w:val="single" w:sz="4" w:space="0" w:color="auto"/>
            </w:tcBorders>
            <w:shd w:val="clear" w:color="auto" w:fill="auto"/>
            <w:noWrap/>
            <w:vAlign w:val="bottom"/>
            <w:hideMark/>
          </w:tcPr>
          <w:p w:rsidR="00E216C1" w:rsidRPr="00EC3F73" w:rsidRDefault="00E216C1" w:rsidP="00172B56">
            <w:pPr>
              <w:spacing w:line="240" w:lineRule="auto"/>
              <w:jc w:val="right"/>
              <w:rPr>
                <w:rFonts w:ascii="Calibri" w:eastAsia="Times New Roman" w:hAnsi="Calibri"/>
                <w:color w:val="000000"/>
                <w:sz w:val="22"/>
                <w:szCs w:val="22"/>
                <w:lang w:eastAsia="en-CA"/>
              </w:rPr>
            </w:pPr>
            <w:r w:rsidRPr="00EC3F73">
              <w:rPr>
                <w:rFonts w:ascii="Calibri" w:eastAsia="Times New Roman" w:hAnsi="Calibri"/>
                <w:color w:val="000000"/>
                <w:sz w:val="22"/>
                <w:szCs w:val="22"/>
                <w:lang w:eastAsia="en-CA"/>
              </w:rPr>
              <w:t>3,589,853,438</w:t>
            </w:r>
          </w:p>
        </w:tc>
      </w:tr>
      <w:tr w:rsidR="00E216C1" w:rsidRPr="00EC3F73" w:rsidTr="00172B56">
        <w:trPr>
          <w:trHeight w:val="411"/>
        </w:trPr>
        <w:tc>
          <w:tcPr>
            <w:tcW w:w="4346" w:type="dxa"/>
            <w:tcBorders>
              <w:top w:val="nil"/>
              <w:left w:val="single" w:sz="4" w:space="0" w:color="auto"/>
              <w:bottom w:val="single" w:sz="12" w:space="0" w:color="auto"/>
              <w:right w:val="single" w:sz="4" w:space="0" w:color="auto"/>
            </w:tcBorders>
            <w:shd w:val="clear" w:color="auto" w:fill="auto"/>
            <w:noWrap/>
            <w:vAlign w:val="bottom"/>
          </w:tcPr>
          <w:p w:rsidR="00E216C1" w:rsidRPr="00EC3F73" w:rsidRDefault="00E216C1" w:rsidP="00172B56">
            <w:pPr>
              <w:spacing w:line="240" w:lineRule="auto"/>
              <w:rPr>
                <w:rFonts w:ascii="Calibri" w:eastAsia="Times New Roman" w:hAnsi="Calibri"/>
                <w:color w:val="000000"/>
                <w:sz w:val="22"/>
                <w:szCs w:val="22"/>
                <w:lang w:eastAsia="en-CA"/>
              </w:rPr>
            </w:pPr>
            <w:r>
              <w:rPr>
                <w:rFonts w:ascii="Calibri" w:eastAsia="Times New Roman" w:hAnsi="Calibri"/>
                <w:color w:val="000000"/>
                <w:sz w:val="22"/>
                <w:szCs w:val="22"/>
                <w:lang w:eastAsia="en-CA"/>
              </w:rPr>
              <w:t>General Infrastructure Repair Requirements Due to Ageing of Components</w:t>
            </w:r>
          </w:p>
        </w:tc>
        <w:tc>
          <w:tcPr>
            <w:tcW w:w="4157" w:type="dxa"/>
            <w:tcBorders>
              <w:top w:val="nil"/>
              <w:left w:val="nil"/>
              <w:bottom w:val="single" w:sz="12" w:space="0" w:color="auto"/>
              <w:right w:val="single" w:sz="4" w:space="0" w:color="auto"/>
            </w:tcBorders>
            <w:shd w:val="clear" w:color="auto" w:fill="auto"/>
            <w:noWrap/>
            <w:vAlign w:val="bottom"/>
          </w:tcPr>
          <w:p w:rsidR="00E216C1" w:rsidRDefault="00E216C1" w:rsidP="00172B56">
            <w:pPr>
              <w:jc w:val="right"/>
              <w:rPr>
                <w:rFonts w:ascii="Calibri" w:hAnsi="Calibri"/>
                <w:color w:val="000000"/>
                <w:sz w:val="22"/>
                <w:szCs w:val="22"/>
              </w:rPr>
            </w:pPr>
            <w:r>
              <w:rPr>
                <w:rFonts w:ascii="Calibri" w:hAnsi="Calibri"/>
                <w:color w:val="000000"/>
                <w:sz w:val="22"/>
                <w:szCs w:val="22"/>
              </w:rPr>
              <w:t>105,555,033,115</w:t>
            </w:r>
          </w:p>
        </w:tc>
      </w:tr>
      <w:tr w:rsidR="00E216C1" w:rsidRPr="00EC3F73" w:rsidTr="00172B56">
        <w:trPr>
          <w:trHeight w:val="411"/>
        </w:trPr>
        <w:tc>
          <w:tcPr>
            <w:tcW w:w="4346" w:type="dxa"/>
            <w:tcBorders>
              <w:top w:val="nil"/>
              <w:left w:val="nil"/>
              <w:bottom w:val="nil"/>
              <w:right w:val="nil"/>
            </w:tcBorders>
            <w:shd w:val="clear" w:color="auto" w:fill="auto"/>
            <w:vAlign w:val="center"/>
            <w:hideMark/>
          </w:tcPr>
          <w:p w:rsidR="00E216C1" w:rsidRPr="00EC3F73" w:rsidRDefault="00E216C1" w:rsidP="00172B56">
            <w:pPr>
              <w:spacing w:line="240" w:lineRule="auto"/>
              <w:jc w:val="right"/>
              <w:rPr>
                <w:rFonts w:ascii="Calibri" w:eastAsia="Times New Roman" w:hAnsi="Calibri"/>
                <w:b/>
                <w:bCs/>
                <w:i/>
                <w:iCs/>
                <w:color w:val="000000"/>
                <w:sz w:val="22"/>
                <w:szCs w:val="22"/>
                <w:lang w:eastAsia="en-CA"/>
              </w:rPr>
            </w:pPr>
          </w:p>
        </w:tc>
        <w:tc>
          <w:tcPr>
            <w:tcW w:w="4157" w:type="dxa"/>
            <w:tcBorders>
              <w:top w:val="nil"/>
              <w:left w:val="nil"/>
              <w:bottom w:val="nil"/>
              <w:right w:val="nil"/>
            </w:tcBorders>
            <w:shd w:val="clear" w:color="auto" w:fill="auto"/>
            <w:noWrap/>
            <w:vAlign w:val="bottom"/>
            <w:hideMark/>
          </w:tcPr>
          <w:p w:rsidR="00E216C1" w:rsidRPr="00EC3F73" w:rsidRDefault="00E216C1" w:rsidP="00172B56">
            <w:pPr>
              <w:spacing w:line="240" w:lineRule="auto"/>
              <w:rPr>
                <w:rFonts w:ascii="Calibri" w:eastAsia="Times New Roman" w:hAnsi="Calibri"/>
                <w:color w:val="000000"/>
                <w:sz w:val="22"/>
                <w:szCs w:val="22"/>
                <w:lang w:eastAsia="en-CA"/>
              </w:rPr>
            </w:pPr>
          </w:p>
        </w:tc>
      </w:tr>
      <w:tr w:rsidR="00E216C1" w:rsidRPr="00EC3F73" w:rsidTr="00172B56">
        <w:trPr>
          <w:trHeight w:val="376"/>
        </w:trPr>
        <w:tc>
          <w:tcPr>
            <w:tcW w:w="4346" w:type="dxa"/>
            <w:tcBorders>
              <w:top w:val="nil"/>
              <w:left w:val="nil"/>
              <w:bottom w:val="nil"/>
              <w:right w:val="nil"/>
            </w:tcBorders>
            <w:shd w:val="clear" w:color="auto" w:fill="auto"/>
            <w:vAlign w:val="center"/>
            <w:hideMark/>
          </w:tcPr>
          <w:p w:rsidR="00E216C1" w:rsidRPr="00EC3F73" w:rsidRDefault="00E216C1" w:rsidP="00172B56">
            <w:pPr>
              <w:spacing w:line="240" w:lineRule="auto"/>
              <w:jc w:val="right"/>
              <w:rPr>
                <w:rFonts w:ascii="Calibri" w:eastAsia="Times New Roman" w:hAnsi="Calibri"/>
                <w:b/>
                <w:bCs/>
                <w:i/>
                <w:iCs/>
                <w:color w:val="000000"/>
                <w:sz w:val="22"/>
                <w:szCs w:val="22"/>
                <w:lang w:eastAsia="en-CA"/>
              </w:rPr>
            </w:pPr>
            <w:r w:rsidRPr="00EC3F73">
              <w:rPr>
                <w:rFonts w:ascii="Calibri" w:eastAsia="Times New Roman" w:hAnsi="Calibri"/>
                <w:b/>
                <w:bCs/>
                <w:i/>
                <w:iCs/>
                <w:color w:val="000000"/>
                <w:sz w:val="22"/>
                <w:szCs w:val="22"/>
                <w:lang w:eastAsia="en-CA"/>
              </w:rPr>
              <w:t>Total (NAIRA):</w:t>
            </w:r>
          </w:p>
        </w:tc>
        <w:tc>
          <w:tcPr>
            <w:tcW w:w="41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16C1" w:rsidRPr="00EC3F73" w:rsidRDefault="00E216C1" w:rsidP="00172B56">
            <w:pPr>
              <w:spacing w:line="240" w:lineRule="auto"/>
              <w:jc w:val="right"/>
              <w:rPr>
                <w:rFonts w:ascii="Calibri" w:eastAsia="Times New Roman" w:hAnsi="Calibri"/>
                <w:b/>
                <w:bCs/>
                <w:color w:val="000000"/>
                <w:sz w:val="22"/>
                <w:szCs w:val="22"/>
                <w:lang w:eastAsia="en-CA"/>
              </w:rPr>
            </w:pPr>
            <w:r>
              <w:rPr>
                <w:rFonts w:ascii="Calibri" w:eastAsia="Times New Roman" w:hAnsi="Calibri"/>
                <w:b/>
                <w:bCs/>
                <w:color w:val="000000"/>
                <w:sz w:val="22"/>
                <w:szCs w:val="22"/>
                <w:lang w:eastAsia="en-CA"/>
              </w:rPr>
              <w:t>152,994,000,000</w:t>
            </w:r>
          </w:p>
        </w:tc>
      </w:tr>
      <w:tr w:rsidR="00E216C1" w:rsidRPr="00EC3F73" w:rsidTr="00172B56">
        <w:trPr>
          <w:trHeight w:val="376"/>
        </w:trPr>
        <w:tc>
          <w:tcPr>
            <w:tcW w:w="4346" w:type="dxa"/>
            <w:tcBorders>
              <w:top w:val="nil"/>
              <w:left w:val="nil"/>
              <w:bottom w:val="nil"/>
              <w:right w:val="nil"/>
            </w:tcBorders>
            <w:shd w:val="clear" w:color="auto" w:fill="auto"/>
            <w:vAlign w:val="center"/>
            <w:hideMark/>
          </w:tcPr>
          <w:p w:rsidR="00E216C1" w:rsidRPr="00EC3F73" w:rsidRDefault="00E216C1" w:rsidP="00172B56">
            <w:pPr>
              <w:spacing w:line="240" w:lineRule="auto"/>
              <w:jc w:val="right"/>
              <w:rPr>
                <w:rFonts w:ascii="Calibri" w:eastAsia="Times New Roman" w:hAnsi="Calibri"/>
                <w:b/>
                <w:bCs/>
                <w:i/>
                <w:iCs/>
                <w:color w:val="000000"/>
                <w:sz w:val="22"/>
                <w:szCs w:val="22"/>
                <w:lang w:eastAsia="en-CA"/>
              </w:rPr>
            </w:pPr>
            <w:r w:rsidRPr="00EC3F73">
              <w:rPr>
                <w:rFonts w:ascii="Calibri" w:eastAsia="Times New Roman" w:hAnsi="Calibri"/>
                <w:b/>
                <w:bCs/>
                <w:i/>
                <w:iCs/>
                <w:color w:val="000000"/>
                <w:sz w:val="22"/>
                <w:szCs w:val="22"/>
                <w:lang w:eastAsia="en-CA"/>
              </w:rPr>
              <w:t>Total (USD):</w:t>
            </w:r>
          </w:p>
        </w:tc>
        <w:tc>
          <w:tcPr>
            <w:tcW w:w="4157" w:type="dxa"/>
            <w:tcBorders>
              <w:top w:val="nil"/>
              <w:left w:val="single" w:sz="4" w:space="0" w:color="auto"/>
              <w:bottom w:val="single" w:sz="4" w:space="0" w:color="auto"/>
              <w:right w:val="single" w:sz="4" w:space="0" w:color="auto"/>
            </w:tcBorders>
            <w:shd w:val="clear" w:color="auto" w:fill="auto"/>
            <w:noWrap/>
            <w:vAlign w:val="bottom"/>
            <w:hideMark/>
          </w:tcPr>
          <w:p w:rsidR="00E216C1" w:rsidRPr="00EC3F73" w:rsidRDefault="00E216C1" w:rsidP="00172B56">
            <w:pPr>
              <w:spacing w:line="240" w:lineRule="auto"/>
              <w:jc w:val="right"/>
              <w:rPr>
                <w:rFonts w:ascii="Calibri" w:eastAsia="Times New Roman" w:hAnsi="Calibri"/>
                <w:b/>
                <w:bCs/>
                <w:color w:val="000000"/>
                <w:sz w:val="22"/>
                <w:szCs w:val="22"/>
                <w:lang w:eastAsia="en-CA"/>
              </w:rPr>
            </w:pPr>
            <w:r w:rsidRPr="00EC3F73">
              <w:rPr>
                <w:rFonts w:ascii="Calibri" w:eastAsia="Times New Roman" w:hAnsi="Calibri"/>
                <w:b/>
                <w:bCs/>
                <w:color w:val="000000"/>
                <w:sz w:val="22"/>
                <w:szCs w:val="22"/>
                <w:lang w:eastAsia="en-CA"/>
              </w:rPr>
              <w:t>$</w:t>
            </w:r>
            <w:r>
              <w:rPr>
                <w:rFonts w:ascii="Calibri" w:eastAsia="Times New Roman" w:hAnsi="Calibri"/>
                <w:b/>
                <w:bCs/>
                <w:color w:val="000000"/>
                <w:sz w:val="22"/>
                <w:szCs w:val="22"/>
                <w:lang w:eastAsia="en-CA"/>
              </w:rPr>
              <w:t>947</w:t>
            </w:r>
            <w:r w:rsidRPr="00EC3F73">
              <w:rPr>
                <w:rFonts w:ascii="Calibri" w:eastAsia="Times New Roman" w:hAnsi="Calibri"/>
                <w:b/>
                <w:bCs/>
                <w:color w:val="000000"/>
                <w:sz w:val="22"/>
                <w:szCs w:val="22"/>
                <w:lang w:eastAsia="en-CA"/>
              </w:rPr>
              <w:t>,000,000</w:t>
            </w:r>
          </w:p>
        </w:tc>
      </w:tr>
    </w:tbl>
    <w:p w:rsidR="00067C48" w:rsidRDefault="00067C48" w:rsidP="00067C48"/>
    <w:p w:rsidR="00044475" w:rsidRPr="0028757E" w:rsidRDefault="00954E64" w:rsidP="00714A27">
      <w:pPr>
        <w:pStyle w:val="Heading2"/>
      </w:pPr>
      <w:bookmarkStart w:id="9" w:name="_Toc381186746"/>
      <w:r>
        <w:lastRenderedPageBreak/>
        <w:t xml:space="preserve">Financing </w:t>
      </w:r>
      <w:r w:rsidR="00044475">
        <w:t xml:space="preserve">Package 1 – </w:t>
      </w:r>
      <w:r w:rsidR="007A69A8">
        <w:t xml:space="preserve">Ongoing Projects that Need Incremental </w:t>
      </w:r>
      <w:r w:rsidR="008E30DF">
        <w:t>Funding</w:t>
      </w:r>
      <w:bookmarkEnd w:id="9"/>
    </w:p>
    <w:p w:rsidR="00E622A5" w:rsidRDefault="00CF05A0" w:rsidP="00E622A5">
      <w:r>
        <w:rPr>
          <w:rFonts w:cs="Arial"/>
          <w:lang w:val="en-GB"/>
        </w:rPr>
        <w:fldChar w:fldCharType="begin"/>
      </w:r>
      <w:r w:rsidR="00714A27">
        <w:rPr>
          <w:rFonts w:cs="Arial"/>
          <w:lang w:val="en-GB"/>
        </w:rPr>
        <w:instrText xml:space="preserve"> REF _Ref381093508 \w \h </w:instrText>
      </w:r>
      <w:r>
        <w:rPr>
          <w:rFonts w:cs="Arial"/>
          <w:lang w:val="en-GB"/>
        </w:rPr>
      </w:r>
      <w:r>
        <w:rPr>
          <w:rFonts w:cs="Arial"/>
          <w:lang w:val="en-GB"/>
        </w:rPr>
        <w:fldChar w:fldCharType="separate"/>
      </w:r>
      <w:r w:rsidR="0056026E">
        <w:rPr>
          <w:rFonts w:cs="Arial"/>
          <w:lang w:val="en-GB"/>
        </w:rPr>
        <w:t>Appendix B</w:t>
      </w:r>
      <w:r>
        <w:rPr>
          <w:rFonts w:cs="Arial"/>
          <w:lang w:val="en-GB"/>
        </w:rPr>
        <w:fldChar w:fldCharType="end"/>
      </w:r>
      <w:r w:rsidR="00B2235A">
        <w:rPr>
          <w:rFonts w:cs="Arial"/>
          <w:lang w:val="en-GB"/>
        </w:rPr>
        <w:t xml:space="preserve"> shows the l</w:t>
      </w:r>
      <w:r w:rsidR="00B2235A" w:rsidRPr="003B7668">
        <w:rPr>
          <w:rFonts w:cs="Arial"/>
          <w:lang w:val="en-GB"/>
        </w:rPr>
        <w:t xml:space="preserve">ist of </w:t>
      </w:r>
      <w:r w:rsidR="00B2235A">
        <w:rPr>
          <w:rFonts w:cs="Arial"/>
          <w:lang w:val="en-GB"/>
        </w:rPr>
        <w:t>p</w:t>
      </w:r>
      <w:r w:rsidR="00B2235A" w:rsidRPr="003B7668">
        <w:rPr>
          <w:rFonts w:cs="Arial"/>
          <w:lang w:val="en-GB"/>
        </w:rPr>
        <w:t xml:space="preserve">rojects and </w:t>
      </w:r>
      <w:r w:rsidR="00B2235A">
        <w:rPr>
          <w:rFonts w:cs="Arial"/>
          <w:lang w:val="en-GB"/>
        </w:rPr>
        <w:t>a m</w:t>
      </w:r>
      <w:r w:rsidR="00B2235A" w:rsidRPr="003B7668">
        <w:rPr>
          <w:rFonts w:cs="Arial"/>
          <w:lang w:val="en-GB"/>
        </w:rPr>
        <w:t xml:space="preserve">ap for </w:t>
      </w:r>
      <w:r w:rsidR="00B2235A">
        <w:rPr>
          <w:rFonts w:cs="Arial"/>
          <w:lang w:val="en-GB"/>
        </w:rPr>
        <w:t>Financing Package 1</w:t>
      </w:r>
      <w:r w:rsidR="00D0587D">
        <w:rPr>
          <w:rFonts w:cs="Arial"/>
          <w:lang w:val="en-GB"/>
        </w:rPr>
        <w:t xml:space="preserve">, which </w:t>
      </w:r>
      <w:r w:rsidR="00E622A5" w:rsidRPr="000660CA">
        <w:t xml:space="preserve">includes all ongoing TCN transmission line and substation projects that require additional capital funds to complete construction, make operational, and pay all project related costs.  These projects </w:t>
      </w:r>
      <w:r w:rsidR="00D0587D">
        <w:t xml:space="preserve">underpin </w:t>
      </w:r>
      <w:r w:rsidR="008E30DF">
        <w:t>the subsequent</w:t>
      </w:r>
      <w:r w:rsidR="00D0587D">
        <w:t xml:space="preserve"> expansion of the transmission system, and it is critically important to complete them as a high priority</w:t>
      </w:r>
      <w:r w:rsidR="00E622A5" w:rsidRPr="000660CA">
        <w:t>.</w:t>
      </w:r>
      <w:r w:rsidR="00E622A5">
        <w:t xml:space="preserve">  The total cost to bring these projects to conclusion is approximately </w:t>
      </w:r>
      <w:r w:rsidR="00067C48">
        <w:t>$</w:t>
      </w:r>
      <w:r w:rsidR="00E622A5">
        <w:t>989</w:t>
      </w:r>
      <w:r w:rsidR="00067C48">
        <w:t xml:space="preserve"> Million USD</w:t>
      </w:r>
      <w:r w:rsidR="00E622A5">
        <w:t>.</w:t>
      </w:r>
    </w:p>
    <w:p w:rsidR="00E622A5" w:rsidRDefault="00E622A5" w:rsidP="00167D62">
      <w:pPr>
        <w:jc w:val="both"/>
        <w:rPr>
          <w:rFonts w:cs="Arial"/>
          <w:lang w:val="en-US"/>
        </w:rPr>
      </w:pPr>
    </w:p>
    <w:p w:rsidR="00AE448F" w:rsidRDefault="00AE448F" w:rsidP="00AE448F">
      <w:pPr>
        <w:jc w:val="both"/>
        <w:rPr>
          <w:rFonts w:cs="Arial"/>
          <w:lang w:val="en-US"/>
        </w:rPr>
      </w:pPr>
      <w:r>
        <w:rPr>
          <w:rFonts w:cs="Arial"/>
          <w:lang w:val="en-US"/>
        </w:rPr>
        <w:t xml:space="preserve">The objective of completing the ongoing projects is to stabilize the system and address the following </w:t>
      </w:r>
      <w:r w:rsidR="00880295">
        <w:rPr>
          <w:rFonts w:cs="Arial"/>
          <w:lang w:val="en-US"/>
        </w:rPr>
        <w:t xml:space="preserve">persistent reliability and security </w:t>
      </w:r>
      <w:r>
        <w:rPr>
          <w:rFonts w:cs="Arial"/>
          <w:lang w:val="en-US"/>
        </w:rPr>
        <w:t xml:space="preserve">issues: </w:t>
      </w:r>
    </w:p>
    <w:p w:rsidR="00880295" w:rsidRPr="00880295" w:rsidRDefault="00880295" w:rsidP="00AE448F">
      <w:pPr>
        <w:jc w:val="both"/>
        <w:rPr>
          <w:rFonts w:cs="Arial"/>
          <w:sz w:val="22"/>
          <w:szCs w:val="22"/>
          <w:lang w:val="en-US"/>
        </w:rPr>
      </w:pPr>
    </w:p>
    <w:p w:rsidR="00AE448F" w:rsidRPr="00880295" w:rsidRDefault="00AE448F" w:rsidP="00880295">
      <w:pPr>
        <w:pStyle w:val="ListParagraph"/>
        <w:numPr>
          <w:ilvl w:val="0"/>
          <w:numId w:val="34"/>
        </w:numPr>
        <w:jc w:val="both"/>
        <w:rPr>
          <w:rFonts w:ascii="Arial" w:hAnsi="Arial" w:cs="Arial"/>
          <w:sz w:val="20"/>
          <w:lang w:val="en-US"/>
        </w:rPr>
      </w:pPr>
      <w:r w:rsidRPr="00880295">
        <w:rPr>
          <w:rFonts w:ascii="Arial" w:hAnsi="Arial" w:cs="Arial"/>
          <w:sz w:val="20"/>
          <w:lang w:val="en-US"/>
        </w:rPr>
        <w:t>Rotating Customer Outages</w:t>
      </w:r>
      <w:r w:rsidR="00880295" w:rsidRPr="00880295">
        <w:rPr>
          <w:rFonts w:ascii="Arial" w:hAnsi="Arial" w:cs="Arial"/>
          <w:sz w:val="20"/>
          <w:lang w:val="en-US"/>
        </w:rPr>
        <w:t xml:space="preserve"> – It is well recognized that there</w:t>
      </w:r>
      <w:r w:rsidRPr="00880295">
        <w:rPr>
          <w:rFonts w:ascii="Arial" w:hAnsi="Arial" w:cs="Arial"/>
          <w:sz w:val="20"/>
          <w:lang w:val="en-US"/>
        </w:rPr>
        <w:t xml:space="preserve"> is insufficient generation/transmission/distribution to serve customer demand</w:t>
      </w:r>
      <w:r w:rsidR="00880295" w:rsidRPr="00880295">
        <w:rPr>
          <w:rFonts w:ascii="Arial" w:hAnsi="Arial" w:cs="Arial"/>
          <w:sz w:val="20"/>
          <w:lang w:val="en-US"/>
        </w:rPr>
        <w:t xml:space="preserve"> in Nigeria</w:t>
      </w:r>
      <w:r w:rsidRPr="00880295">
        <w:rPr>
          <w:rFonts w:ascii="Arial" w:hAnsi="Arial" w:cs="Arial"/>
          <w:sz w:val="20"/>
          <w:lang w:val="en-US"/>
        </w:rPr>
        <w:t xml:space="preserve">. As a result, rotating customer outages are used to balance supply and demand on a daily basis. </w:t>
      </w:r>
    </w:p>
    <w:p w:rsidR="00880295" w:rsidRPr="00880295" w:rsidRDefault="00880295" w:rsidP="00AE448F">
      <w:pPr>
        <w:jc w:val="both"/>
        <w:rPr>
          <w:rFonts w:cs="Arial"/>
          <w:lang w:val="en-US"/>
        </w:rPr>
      </w:pPr>
    </w:p>
    <w:p w:rsidR="00880295" w:rsidRPr="00880295" w:rsidRDefault="00AE448F" w:rsidP="00880295">
      <w:pPr>
        <w:pStyle w:val="ListParagraph"/>
        <w:numPr>
          <w:ilvl w:val="0"/>
          <w:numId w:val="34"/>
        </w:numPr>
        <w:jc w:val="both"/>
        <w:rPr>
          <w:rFonts w:ascii="Arial" w:hAnsi="Arial" w:cs="Arial"/>
          <w:sz w:val="20"/>
          <w:lang w:val="en-US"/>
        </w:rPr>
      </w:pPr>
      <w:r w:rsidRPr="00880295">
        <w:rPr>
          <w:rFonts w:ascii="Arial" w:hAnsi="Arial" w:cs="Arial"/>
          <w:sz w:val="20"/>
          <w:lang w:val="en-US"/>
        </w:rPr>
        <w:t>Limited ability to withstand single equipment outage</w:t>
      </w:r>
      <w:r w:rsidR="00880295" w:rsidRPr="00880295">
        <w:rPr>
          <w:rFonts w:ascii="Arial" w:hAnsi="Arial" w:cs="Arial"/>
          <w:sz w:val="20"/>
          <w:lang w:val="en-US"/>
        </w:rPr>
        <w:t xml:space="preserve"> – </w:t>
      </w:r>
      <w:r w:rsidRPr="00880295">
        <w:rPr>
          <w:rFonts w:ascii="Arial" w:hAnsi="Arial" w:cs="Arial"/>
          <w:sz w:val="20"/>
          <w:lang w:val="en-US"/>
        </w:rPr>
        <w:t xml:space="preserve">The TCN network has been designed to </w:t>
      </w:r>
      <w:proofErr w:type="gramStart"/>
      <w:r w:rsidRPr="00880295">
        <w:rPr>
          <w:rFonts w:ascii="Arial" w:hAnsi="Arial" w:cs="Arial"/>
          <w:sz w:val="20"/>
          <w:lang w:val="en-US"/>
        </w:rPr>
        <w:t>a</w:t>
      </w:r>
      <w:proofErr w:type="gramEnd"/>
      <w:r w:rsidRPr="00880295">
        <w:rPr>
          <w:rFonts w:ascii="Arial" w:hAnsi="Arial" w:cs="Arial"/>
          <w:sz w:val="20"/>
          <w:lang w:val="en-US"/>
        </w:rPr>
        <w:t xml:space="preserve"> N-0 reliability standard for the most part</w:t>
      </w:r>
      <w:r w:rsidR="00880295" w:rsidRPr="00880295">
        <w:rPr>
          <w:rFonts w:ascii="Arial" w:hAnsi="Arial" w:cs="Arial"/>
          <w:sz w:val="20"/>
          <w:lang w:val="en-US"/>
        </w:rPr>
        <w:t>,</w:t>
      </w:r>
      <w:r w:rsidRPr="00880295">
        <w:rPr>
          <w:rFonts w:ascii="Arial" w:hAnsi="Arial" w:cs="Arial"/>
          <w:sz w:val="20"/>
          <w:lang w:val="en-US"/>
        </w:rPr>
        <w:t xml:space="preserve"> which focuses on delivering energy when all transmission elements are in service. Thus when a single transmission element is out of service there is a good chance that load will not be served. Many power systems are designed to an N-1 (or higher) </w:t>
      </w:r>
      <w:proofErr w:type="gramStart"/>
      <w:r w:rsidRPr="00880295">
        <w:rPr>
          <w:rFonts w:ascii="Arial" w:hAnsi="Arial" w:cs="Arial"/>
          <w:sz w:val="20"/>
          <w:lang w:val="en-US"/>
        </w:rPr>
        <w:t>criteria</w:t>
      </w:r>
      <w:proofErr w:type="gramEnd"/>
      <w:r w:rsidRPr="00880295">
        <w:rPr>
          <w:rFonts w:ascii="Arial" w:hAnsi="Arial" w:cs="Arial"/>
          <w:sz w:val="20"/>
          <w:lang w:val="en-US"/>
        </w:rPr>
        <w:t xml:space="preserve"> that provides for all load to be served even in one element is out of service.  In addition, the TCN network currently has voltage problems that are in large part due to insu</w:t>
      </w:r>
      <w:r w:rsidR="00AF4CA8">
        <w:rPr>
          <w:rFonts w:ascii="Arial" w:hAnsi="Arial" w:cs="Arial"/>
          <w:sz w:val="20"/>
          <w:lang w:val="en-US"/>
        </w:rPr>
        <w:t>fficient means of supplying the reactive</w:t>
      </w:r>
      <w:r w:rsidRPr="00880295">
        <w:rPr>
          <w:rFonts w:ascii="Arial" w:hAnsi="Arial" w:cs="Arial"/>
          <w:sz w:val="20"/>
          <w:lang w:val="en-US"/>
        </w:rPr>
        <w:t xml:space="preserve"> requirements of loads. Coupling the N-0 design and the limited reactive sources, the TCN network is prone to experience a partial or total black</w:t>
      </w:r>
      <w:r w:rsidR="00880295" w:rsidRPr="00880295">
        <w:rPr>
          <w:rFonts w:ascii="Arial" w:hAnsi="Arial" w:cs="Arial"/>
          <w:sz w:val="20"/>
          <w:lang w:val="en-US"/>
        </w:rPr>
        <w:t>out</w:t>
      </w:r>
      <w:r w:rsidRPr="00880295">
        <w:rPr>
          <w:rFonts w:ascii="Arial" w:hAnsi="Arial" w:cs="Arial"/>
          <w:sz w:val="20"/>
          <w:lang w:val="en-US"/>
        </w:rPr>
        <w:t xml:space="preserve"> when a single transmission element is forced out of service. </w:t>
      </w:r>
    </w:p>
    <w:p w:rsidR="00AE448F" w:rsidRPr="00880295" w:rsidRDefault="00AE448F" w:rsidP="00AE448F">
      <w:pPr>
        <w:jc w:val="both"/>
        <w:rPr>
          <w:rFonts w:cs="Arial"/>
          <w:lang w:val="en-US"/>
        </w:rPr>
      </w:pPr>
    </w:p>
    <w:p w:rsidR="00AE448F" w:rsidRPr="00880295" w:rsidRDefault="00880295" w:rsidP="00880295">
      <w:pPr>
        <w:pStyle w:val="ListParagraph"/>
        <w:numPr>
          <w:ilvl w:val="0"/>
          <w:numId w:val="34"/>
        </w:numPr>
        <w:jc w:val="both"/>
        <w:rPr>
          <w:rFonts w:ascii="Arial" w:hAnsi="Arial" w:cs="Arial"/>
          <w:sz w:val="20"/>
          <w:lang w:val="en-US"/>
        </w:rPr>
      </w:pPr>
      <w:r w:rsidRPr="00880295">
        <w:rPr>
          <w:rFonts w:ascii="Arial" w:hAnsi="Arial" w:cs="Arial"/>
          <w:sz w:val="20"/>
          <w:lang w:val="en-US"/>
        </w:rPr>
        <w:t>F</w:t>
      </w:r>
      <w:r w:rsidR="00AE448F" w:rsidRPr="00880295">
        <w:rPr>
          <w:rFonts w:ascii="Arial" w:hAnsi="Arial" w:cs="Arial"/>
          <w:sz w:val="20"/>
          <w:lang w:val="en-US"/>
        </w:rPr>
        <w:t>requent System Collapses</w:t>
      </w:r>
      <w:r w:rsidRPr="00880295">
        <w:rPr>
          <w:rFonts w:ascii="Arial" w:hAnsi="Arial" w:cs="Arial"/>
          <w:sz w:val="20"/>
          <w:lang w:val="en-US"/>
        </w:rPr>
        <w:t xml:space="preserve"> – </w:t>
      </w:r>
      <w:r w:rsidR="00AE448F" w:rsidRPr="00880295">
        <w:rPr>
          <w:rFonts w:ascii="Arial" w:hAnsi="Arial" w:cs="Arial"/>
          <w:sz w:val="20"/>
          <w:lang w:val="en-US"/>
        </w:rPr>
        <w:t xml:space="preserve">The Nigerian power system suffers from frequent partial or total system collapses when compared to the average power systems in the world. Currently the system experiences about </w:t>
      </w:r>
      <w:r w:rsidRPr="00880295">
        <w:rPr>
          <w:rFonts w:ascii="Arial" w:hAnsi="Arial" w:cs="Arial"/>
          <w:sz w:val="20"/>
          <w:lang w:val="en-US"/>
        </w:rPr>
        <w:t>two</w:t>
      </w:r>
      <w:r w:rsidR="00AE448F" w:rsidRPr="00880295">
        <w:rPr>
          <w:rFonts w:ascii="Arial" w:hAnsi="Arial" w:cs="Arial"/>
          <w:sz w:val="20"/>
          <w:lang w:val="en-US"/>
        </w:rPr>
        <w:t xml:space="preserve"> per month on average. There are many contribution factors to these outages but it is clear that the undersized TCN network, the lack of ability to withstand singe contingencies and the lack of proper means of control voltage within reliability criteria are major contributors.  </w:t>
      </w:r>
    </w:p>
    <w:p w:rsidR="00AE448F" w:rsidRPr="00880295" w:rsidRDefault="00AE448F" w:rsidP="00167D62">
      <w:pPr>
        <w:jc w:val="both"/>
        <w:rPr>
          <w:rFonts w:cs="Arial"/>
          <w:lang w:val="en-US"/>
        </w:rPr>
      </w:pPr>
    </w:p>
    <w:p w:rsidR="00167D62" w:rsidRPr="00855724" w:rsidRDefault="00167D62" w:rsidP="00167D62">
      <w:pPr>
        <w:jc w:val="both"/>
        <w:rPr>
          <w:rFonts w:cs="Arial"/>
          <w:lang w:val="en-US"/>
        </w:rPr>
      </w:pPr>
      <w:r w:rsidRPr="00855724">
        <w:rPr>
          <w:rFonts w:cs="Arial"/>
          <w:lang w:val="en-US"/>
        </w:rPr>
        <w:t xml:space="preserve">Package 1 Projects </w:t>
      </w:r>
      <w:r w:rsidR="00E216C1">
        <w:rPr>
          <w:rFonts w:cs="Arial"/>
          <w:lang w:val="en-US"/>
        </w:rPr>
        <w:t>have the following characteristics</w:t>
      </w:r>
      <w:r w:rsidR="005144C6">
        <w:rPr>
          <w:rFonts w:cs="Arial"/>
          <w:lang w:val="en-US"/>
        </w:rPr>
        <w:t>:</w:t>
      </w:r>
    </w:p>
    <w:p w:rsidR="00167D62" w:rsidRPr="00855724" w:rsidRDefault="00167D62" w:rsidP="00167D62">
      <w:pPr>
        <w:numPr>
          <w:ilvl w:val="0"/>
          <w:numId w:val="21"/>
        </w:numPr>
        <w:jc w:val="both"/>
        <w:rPr>
          <w:rFonts w:cs="Arial"/>
          <w:lang w:val="en-US"/>
        </w:rPr>
      </w:pPr>
      <w:r w:rsidRPr="00855724">
        <w:rPr>
          <w:rFonts w:cs="Arial"/>
          <w:lang w:val="en-US"/>
        </w:rPr>
        <w:t>1</w:t>
      </w:r>
      <w:r w:rsidR="00855724">
        <w:rPr>
          <w:rFonts w:cs="Arial"/>
          <w:lang w:val="en-US"/>
        </w:rPr>
        <w:t>22</w:t>
      </w:r>
      <w:r w:rsidRPr="00855724">
        <w:rPr>
          <w:rFonts w:cs="Arial"/>
          <w:lang w:val="en-US"/>
        </w:rPr>
        <w:t xml:space="preserve"> projects; 330kV and 132kV transmission lines and substations</w:t>
      </w:r>
    </w:p>
    <w:p w:rsidR="00167D62" w:rsidRPr="00855724" w:rsidRDefault="00167D62" w:rsidP="00167D62">
      <w:pPr>
        <w:numPr>
          <w:ilvl w:val="0"/>
          <w:numId w:val="21"/>
        </w:numPr>
        <w:jc w:val="both"/>
        <w:rPr>
          <w:rFonts w:cs="Arial"/>
          <w:lang w:val="en-US"/>
        </w:rPr>
      </w:pPr>
      <w:r w:rsidRPr="00855724">
        <w:rPr>
          <w:rFonts w:cs="Arial"/>
          <w:lang w:val="en-US"/>
        </w:rPr>
        <w:t>All projects are ongoing;</w:t>
      </w:r>
    </w:p>
    <w:p w:rsidR="00167D62" w:rsidRPr="00855724" w:rsidRDefault="00167D62" w:rsidP="00167D62">
      <w:pPr>
        <w:numPr>
          <w:ilvl w:val="1"/>
          <w:numId w:val="21"/>
        </w:numPr>
        <w:jc w:val="both"/>
        <w:rPr>
          <w:rFonts w:cs="Arial"/>
          <w:lang w:val="en-US"/>
        </w:rPr>
      </w:pPr>
      <w:r w:rsidRPr="00855724">
        <w:rPr>
          <w:rFonts w:cs="Arial"/>
          <w:lang w:val="en-US"/>
        </w:rPr>
        <w:t>25%</w:t>
      </w:r>
      <w:r w:rsidR="005144C6">
        <w:rPr>
          <w:rFonts w:cs="Arial"/>
          <w:lang w:val="en-US"/>
        </w:rPr>
        <w:t xml:space="preserve"> are s</w:t>
      </w:r>
      <w:r w:rsidRPr="00855724">
        <w:rPr>
          <w:rFonts w:cs="Arial"/>
          <w:lang w:val="en-US"/>
        </w:rPr>
        <w:t xml:space="preserve">ubstantially </w:t>
      </w:r>
      <w:r w:rsidR="005144C6">
        <w:rPr>
          <w:rFonts w:cs="Arial"/>
          <w:lang w:val="en-US"/>
        </w:rPr>
        <w:t>c</w:t>
      </w:r>
      <w:r w:rsidRPr="00855724">
        <w:rPr>
          <w:rFonts w:cs="Arial"/>
          <w:lang w:val="en-US"/>
        </w:rPr>
        <w:t>omplete (&gt;90%)</w:t>
      </w:r>
    </w:p>
    <w:p w:rsidR="00167D62" w:rsidRPr="00855724" w:rsidRDefault="00167D62" w:rsidP="00167D62">
      <w:pPr>
        <w:numPr>
          <w:ilvl w:val="1"/>
          <w:numId w:val="21"/>
        </w:numPr>
        <w:jc w:val="both"/>
        <w:rPr>
          <w:rFonts w:cs="Arial"/>
          <w:lang w:val="en-US"/>
        </w:rPr>
      </w:pPr>
      <w:r w:rsidRPr="00855724">
        <w:rPr>
          <w:rFonts w:cs="Arial"/>
          <w:lang w:val="en-US"/>
        </w:rPr>
        <w:t>25%</w:t>
      </w:r>
      <w:r w:rsidR="005144C6">
        <w:rPr>
          <w:rFonts w:cs="Arial"/>
          <w:lang w:val="en-US"/>
        </w:rPr>
        <w:t xml:space="preserve"> are p</w:t>
      </w:r>
      <w:r w:rsidRPr="00855724">
        <w:rPr>
          <w:rFonts w:cs="Arial"/>
          <w:lang w:val="en-US"/>
        </w:rPr>
        <w:t xml:space="preserve">artially </w:t>
      </w:r>
      <w:r w:rsidR="005144C6">
        <w:rPr>
          <w:rFonts w:cs="Arial"/>
          <w:lang w:val="en-US"/>
        </w:rPr>
        <w:t>c</w:t>
      </w:r>
      <w:r w:rsidRPr="00855724">
        <w:rPr>
          <w:rFonts w:cs="Arial"/>
          <w:lang w:val="en-US"/>
        </w:rPr>
        <w:t>omplete (50% - 90%)</w:t>
      </w:r>
    </w:p>
    <w:p w:rsidR="00167D62" w:rsidRPr="00855724" w:rsidRDefault="00167D62" w:rsidP="00167D62">
      <w:pPr>
        <w:numPr>
          <w:ilvl w:val="1"/>
          <w:numId w:val="21"/>
        </w:numPr>
        <w:jc w:val="both"/>
        <w:rPr>
          <w:rFonts w:cs="Arial"/>
          <w:lang w:val="en-US"/>
        </w:rPr>
      </w:pPr>
      <w:r w:rsidRPr="00855724">
        <w:rPr>
          <w:rFonts w:cs="Arial"/>
          <w:lang w:val="en-US"/>
        </w:rPr>
        <w:t>50%</w:t>
      </w:r>
      <w:r w:rsidR="005144C6">
        <w:rPr>
          <w:rFonts w:cs="Arial"/>
          <w:lang w:val="en-US"/>
        </w:rPr>
        <w:t xml:space="preserve"> j</w:t>
      </w:r>
      <w:r w:rsidRPr="00855724">
        <w:rPr>
          <w:rFonts w:cs="Arial"/>
          <w:lang w:val="en-US"/>
        </w:rPr>
        <w:t xml:space="preserve">ust </w:t>
      </w:r>
      <w:r w:rsidR="005144C6">
        <w:rPr>
          <w:rFonts w:cs="Arial"/>
          <w:lang w:val="en-US"/>
        </w:rPr>
        <w:t>s</w:t>
      </w:r>
      <w:r w:rsidRPr="00855724">
        <w:rPr>
          <w:rFonts w:cs="Arial"/>
          <w:lang w:val="en-US"/>
        </w:rPr>
        <w:t>tarted (0% – 50%)</w:t>
      </w:r>
    </w:p>
    <w:p w:rsidR="00167D62" w:rsidRPr="00855724" w:rsidRDefault="00E216C1" w:rsidP="00167D62">
      <w:pPr>
        <w:numPr>
          <w:ilvl w:val="0"/>
          <w:numId w:val="21"/>
        </w:numPr>
        <w:jc w:val="both"/>
        <w:rPr>
          <w:rFonts w:cs="Arial"/>
          <w:lang w:val="en-US"/>
        </w:rPr>
      </w:pPr>
      <w:r>
        <w:rPr>
          <w:rFonts w:cs="Arial"/>
          <w:lang w:val="en-US"/>
        </w:rPr>
        <w:t>Completion by 2015, if funding can be expedited</w:t>
      </w:r>
    </w:p>
    <w:p w:rsidR="00167D62" w:rsidRPr="00855724" w:rsidRDefault="00167D62" w:rsidP="00167D62">
      <w:pPr>
        <w:numPr>
          <w:ilvl w:val="0"/>
          <w:numId w:val="21"/>
        </w:numPr>
        <w:jc w:val="both"/>
        <w:rPr>
          <w:rFonts w:cs="Arial"/>
          <w:lang w:val="en-US"/>
        </w:rPr>
      </w:pPr>
      <w:r w:rsidRPr="00855724">
        <w:rPr>
          <w:rFonts w:cs="Arial"/>
          <w:lang w:val="en-US"/>
        </w:rPr>
        <w:t>Trans</w:t>
      </w:r>
      <w:r w:rsidR="005144C6">
        <w:rPr>
          <w:rFonts w:cs="Arial"/>
          <w:lang w:val="en-US"/>
        </w:rPr>
        <w:t>mission system benefits include:</w:t>
      </w:r>
    </w:p>
    <w:p w:rsidR="00167D62" w:rsidRPr="00855724" w:rsidRDefault="00167D62" w:rsidP="00167D62">
      <w:pPr>
        <w:numPr>
          <w:ilvl w:val="1"/>
          <w:numId w:val="21"/>
        </w:numPr>
        <w:jc w:val="both"/>
        <w:rPr>
          <w:rFonts w:cs="Arial"/>
          <w:lang w:val="en-US"/>
        </w:rPr>
      </w:pPr>
      <w:r w:rsidRPr="00855724">
        <w:rPr>
          <w:rFonts w:cs="Arial"/>
          <w:lang w:val="en-US"/>
        </w:rPr>
        <w:t xml:space="preserve">increase the transmission grid capability to </w:t>
      </w:r>
      <w:r w:rsidR="00880295">
        <w:rPr>
          <w:rFonts w:cs="Arial"/>
          <w:lang w:val="en-US"/>
        </w:rPr>
        <w:t>7</w:t>
      </w:r>
      <w:r w:rsidRPr="00855724">
        <w:rPr>
          <w:rFonts w:cs="Arial"/>
          <w:lang w:val="en-US"/>
        </w:rPr>
        <w:t xml:space="preserve"> GW</w:t>
      </w:r>
      <w:r w:rsidR="00880295">
        <w:rPr>
          <w:rFonts w:cs="Arial"/>
          <w:lang w:val="en-US"/>
        </w:rPr>
        <w:t xml:space="preserve"> with adequate reliability and security</w:t>
      </w:r>
    </w:p>
    <w:p w:rsidR="00167D62" w:rsidRPr="00855724" w:rsidRDefault="00167D62" w:rsidP="00167D62">
      <w:pPr>
        <w:numPr>
          <w:ilvl w:val="1"/>
          <w:numId w:val="21"/>
        </w:numPr>
        <w:jc w:val="both"/>
        <w:rPr>
          <w:rFonts w:cs="Arial"/>
          <w:lang w:val="en-US"/>
        </w:rPr>
      </w:pPr>
      <w:r w:rsidRPr="00855724">
        <w:rPr>
          <w:rFonts w:cs="Arial"/>
          <w:lang w:val="en-US"/>
        </w:rPr>
        <w:t>reinforce poor performing grid system</w:t>
      </w:r>
    </w:p>
    <w:p w:rsidR="00167D62" w:rsidRDefault="00167D62" w:rsidP="00167D62">
      <w:pPr>
        <w:numPr>
          <w:ilvl w:val="1"/>
          <w:numId w:val="21"/>
        </w:numPr>
        <w:jc w:val="both"/>
        <w:rPr>
          <w:rFonts w:cs="Arial"/>
          <w:lang w:val="en-US"/>
        </w:rPr>
      </w:pPr>
      <w:r w:rsidRPr="00855724">
        <w:rPr>
          <w:rFonts w:cs="Arial"/>
          <w:lang w:val="en-US"/>
        </w:rPr>
        <w:t>establish a foundation for next phases of 20 GW transmission system expansion</w:t>
      </w:r>
    </w:p>
    <w:p w:rsidR="0028757E" w:rsidRDefault="0028757E" w:rsidP="004859F4">
      <w:pPr>
        <w:jc w:val="both"/>
        <w:rPr>
          <w:rFonts w:cs="Arial"/>
          <w:lang w:val="en-GB"/>
        </w:rPr>
      </w:pPr>
    </w:p>
    <w:p w:rsidR="00033999" w:rsidRDefault="000019A8" w:rsidP="00714A27">
      <w:pPr>
        <w:pStyle w:val="Heading2"/>
      </w:pPr>
      <w:bookmarkStart w:id="10" w:name="_Toc381186747"/>
      <w:r>
        <w:lastRenderedPageBreak/>
        <w:t xml:space="preserve">Financing </w:t>
      </w:r>
      <w:r w:rsidR="005B508E">
        <w:t>Package 2 – New Projects</w:t>
      </w:r>
      <w:r w:rsidR="00766C3F">
        <w:t xml:space="preserve"> </w:t>
      </w:r>
      <w:r w:rsidR="00954E64">
        <w:t>for 10 GW System</w:t>
      </w:r>
      <w:bookmarkEnd w:id="10"/>
      <w:r w:rsidR="00954E64">
        <w:t xml:space="preserve"> </w:t>
      </w:r>
    </w:p>
    <w:p w:rsidR="00402A44" w:rsidRDefault="00880295" w:rsidP="00402A44">
      <w:pPr>
        <w:jc w:val="both"/>
        <w:rPr>
          <w:rFonts w:cs="Arial"/>
          <w:lang w:val="en-GB"/>
        </w:rPr>
      </w:pPr>
      <w:r>
        <w:rPr>
          <w:rFonts w:cs="Arial"/>
          <w:lang w:val="en-GB"/>
        </w:rPr>
        <w:t xml:space="preserve">Financing </w:t>
      </w:r>
      <w:r w:rsidR="00067C48">
        <w:rPr>
          <w:rFonts w:cs="Arial"/>
          <w:lang w:val="en-GB"/>
        </w:rPr>
        <w:t xml:space="preserve">Package 2 consists of new projects to be initiated on an expedited basis to reach a total system capacity of 10 GW.  </w:t>
      </w:r>
      <w:r w:rsidR="00CF05A0">
        <w:rPr>
          <w:rFonts w:cs="Arial"/>
          <w:lang w:val="en-GB"/>
        </w:rPr>
        <w:fldChar w:fldCharType="begin"/>
      </w:r>
      <w:r w:rsidR="00714A27">
        <w:rPr>
          <w:rFonts w:cs="Arial"/>
          <w:lang w:val="en-GB"/>
        </w:rPr>
        <w:instrText xml:space="preserve"> REF _Ref381093542 \w \h </w:instrText>
      </w:r>
      <w:r w:rsidR="00CF05A0">
        <w:rPr>
          <w:rFonts w:cs="Arial"/>
          <w:lang w:val="en-GB"/>
        </w:rPr>
      </w:r>
      <w:r w:rsidR="00CF05A0">
        <w:rPr>
          <w:rFonts w:cs="Arial"/>
          <w:lang w:val="en-GB"/>
        </w:rPr>
        <w:fldChar w:fldCharType="separate"/>
      </w:r>
      <w:r w:rsidR="0056026E">
        <w:rPr>
          <w:rFonts w:cs="Arial"/>
          <w:lang w:val="en-GB"/>
        </w:rPr>
        <w:t>Appendix C</w:t>
      </w:r>
      <w:r w:rsidR="00CF05A0">
        <w:rPr>
          <w:rFonts w:cs="Arial"/>
          <w:lang w:val="en-GB"/>
        </w:rPr>
        <w:fldChar w:fldCharType="end"/>
      </w:r>
      <w:r w:rsidR="00402A44">
        <w:rPr>
          <w:rFonts w:cs="Arial"/>
          <w:lang w:val="en-GB"/>
        </w:rPr>
        <w:t xml:space="preserve"> shows the l</w:t>
      </w:r>
      <w:r w:rsidR="00402A44" w:rsidRPr="003B7668">
        <w:rPr>
          <w:rFonts w:cs="Arial"/>
          <w:lang w:val="en-GB"/>
        </w:rPr>
        <w:t xml:space="preserve">ist of </w:t>
      </w:r>
      <w:r w:rsidR="00402A44">
        <w:rPr>
          <w:rFonts w:cs="Arial"/>
          <w:lang w:val="en-GB"/>
        </w:rPr>
        <w:t>p</w:t>
      </w:r>
      <w:r w:rsidR="00402A44" w:rsidRPr="003B7668">
        <w:rPr>
          <w:rFonts w:cs="Arial"/>
          <w:lang w:val="en-GB"/>
        </w:rPr>
        <w:t xml:space="preserve">rojects for </w:t>
      </w:r>
      <w:r w:rsidR="00402A44">
        <w:rPr>
          <w:rFonts w:cs="Arial"/>
          <w:lang w:val="en-GB"/>
        </w:rPr>
        <w:t>Financing Package 2.  The appendix also provides a m</w:t>
      </w:r>
      <w:r w:rsidR="00402A44" w:rsidRPr="003B7668">
        <w:rPr>
          <w:rFonts w:cs="Arial"/>
          <w:lang w:val="en-GB"/>
        </w:rPr>
        <w:t>ap</w:t>
      </w:r>
      <w:r w:rsidR="00402A44">
        <w:rPr>
          <w:rFonts w:cs="Arial"/>
          <w:lang w:val="en-GB"/>
        </w:rPr>
        <w:t xml:space="preserve"> of the projects and a 1-page summary for each individual project.  </w:t>
      </w:r>
    </w:p>
    <w:p w:rsidR="00402A44" w:rsidRDefault="00402A44" w:rsidP="00402A44">
      <w:pPr>
        <w:spacing w:line="276" w:lineRule="auto"/>
        <w:jc w:val="both"/>
        <w:rPr>
          <w:rFonts w:cs="Arial"/>
          <w:lang w:val="en-GB"/>
        </w:rPr>
      </w:pPr>
    </w:p>
    <w:p w:rsidR="000019A8" w:rsidRPr="008F7B68" w:rsidRDefault="003B7668" w:rsidP="00402A44">
      <w:pPr>
        <w:spacing w:line="276" w:lineRule="auto"/>
        <w:jc w:val="both"/>
        <w:rPr>
          <w:rFonts w:cs="Arial"/>
          <w:lang w:val="en-GB"/>
        </w:rPr>
      </w:pPr>
      <w:r w:rsidRPr="003B7668">
        <w:rPr>
          <w:rFonts w:cs="Arial"/>
          <w:lang w:val="en-GB"/>
        </w:rPr>
        <w:t xml:space="preserve">The total cost </w:t>
      </w:r>
      <w:r>
        <w:rPr>
          <w:rFonts w:cs="Arial"/>
          <w:lang w:val="en-GB"/>
        </w:rPr>
        <w:t>to complete the Package 2 projects</w:t>
      </w:r>
      <w:r w:rsidRPr="003B7668">
        <w:rPr>
          <w:rFonts w:cs="Arial"/>
          <w:lang w:val="en-GB"/>
        </w:rPr>
        <w:t xml:space="preserve"> is approximately $</w:t>
      </w:r>
      <w:r w:rsidR="008E30DF">
        <w:rPr>
          <w:rFonts w:cs="Arial"/>
          <w:lang w:val="en-GB"/>
        </w:rPr>
        <w:t>2.2 Billion</w:t>
      </w:r>
      <w:r w:rsidRPr="003B7668">
        <w:rPr>
          <w:rFonts w:cs="Arial"/>
          <w:lang w:val="en-GB"/>
        </w:rPr>
        <w:t xml:space="preserve"> USD.</w:t>
      </w:r>
      <w:r w:rsidR="00402A44">
        <w:rPr>
          <w:rFonts w:cs="Arial"/>
          <w:lang w:val="en-GB"/>
        </w:rPr>
        <w:t xml:space="preserve">  </w:t>
      </w:r>
      <w:r w:rsidR="000019A8">
        <w:rPr>
          <w:rFonts w:cs="Arial"/>
          <w:lang w:val="en-GB"/>
        </w:rPr>
        <w:t>The estimated costs for Projects listed in Financ</w:t>
      </w:r>
      <w:r w:rsidR="006D7424">
        <w:rPr>
          <w:rFonts w:cs="Arial"/>
          <w:lang w:val="en-GB"/>
        </w:rPr>
        <w:t>ing Package 2 were developed by</w:t>
      </w:r>
      <w:r w:rsidR="006D7424">
        <w:rPr>
          <w:rFonts w:cs="Arial" w:hint="eastAsia"/>
          <w:lang w:val="en-GB" w:eastAsia="ja-JP"/>
        </w:rPr>
        <w:t xml:space="preserve"> TCN and reviewed by </w:t>
      </w:r>
      <w:r w:rsidR="000019A8">
        <w:rPr>
          <w:rFonts w:cs="Arial"/>
          <w:lang w:val="en-GB"/>
        </w:rPr>
        <w:t xml:space="preserve">JICA engineers. </w:t>
      </w:r>
      <w:r w:rsidR="000019A8" w:rsidRPr="00D12904">
        <w:rPr>
          <w:rFonts w:cs="Arial"/>
          <w:color w:val="FF0000"/>
          <w:lang w:val="en-GB"/>
        </w:rPr>
        <w:t xml:space="preserve"> </w:t>
      </w:r>
      <w:r w:rsidR="006D7424" w:rsidRPr="008F7B68">
        <w:rPr>
          <w:rFonts w:cs="Arial" w:hint="eastAsia"/>
          <w:lang w:val="en-GB" w:eastAsia="ja-JP"/>
        </w:rPr>
        <w:t>T</w:t>
      </w:r>
      <w:r w:rsidR="006D7424" w:rsidRPr="008F7B68">
        <w:rPr>
          <w:rFonts w:cs="Arial"/>
          <w:lang w:val="en-GB" w:eastAsia="ja-JP"/>
        </w:rPr>
        <w:t>h</w:t>
      </w:r>
      <w:r w:rsidR="006D7424" w:rsidRPr="008F7B68">
        <w:rPr>
          <w:rFonts w:cs="Arial" w:hint="eastAsia"/>
          <w:lang w:val="en-GB" w:eastAsia="ja-JP"/>
        </w:rPr>
        <w:t>e project costs are estimated using the unit costs of TCN</w:t>
      </w:r>
      <w:r w:rsidR="006D7424" w:rsidRPr="008F7B68">
        <w:rPr>
          <w:rFonts w:cs="Arial"/>
          <w:lang w:val="en-GB" w:eastAsia="ja-JP"/>
        </w:rPr>
        <w:t>’</w:t>
      </w:r>
      <w:r w:rsidR="006D7424" w:rsidRPr="008F7B68">
        <w:rPr>
          <w:rFonts w:cs="Arial" w:hint="eastAsia"/>
          <w:lang w:val="en-GB" w:eastAsia="ja-JP"/>
        </w:rPr>
        <w:t>s ongoing projects, $/km for transmission lines and $/MVA for substations</w:t>
      </w:r>
      <w:r w:rsidR="00F62BD1" w:rsidRPr="008F7B68">
        <w:rPr>
          <w:rFonts w:cs="Arial" w:hint="eastAsia"/>
          <w:lang w:val="en-GB" w:eastAsia="ja-JP"/>
        </w:rPr>
        <w:t>. Reference unit costs are selected depending on line voltage (330kV or 132kV)</w:t>
      </w:r>
      <w:r w:rsidR="003F429B" w:rsidRPr="008F7B68">
        <w:rPr>
          <w:rFonts w:cs="Arial" w:hint="eastAsia"/>
          <w:lang w:val="en-GB" w:eastAsia="ja-JP"/>
        </w:rPr>
        <w:t>,</w:t>
      </w:r>
      <w:r w:rsidR="00F62BD1" w:rsidRPr="008F7B68">
        <w:rPr>
          <w:rFonts w:cs="Arial" w:hint="eastAsia"/>
          <w:lang w:val="en-GB" w:eastAsia="ja-JP"/>
        </w:rPr>
        <w:t xml:space="preserve"> </w:t>
      </w:r>
      <w:r w:rsidR="003F429B" w:rsidRPr="008F7B68">
        <w:rPr>
          <w:rFonts w:cs="Arial" w:hint="eastAsia"/>
          <w:lang w:val="en-GB" w:eastAsia="ja-JP"/>
        </w:rPr>
        <w:t xml:space="preserve">number of circuits and conductors (single/double/quad) </w:t>
      </w:r>
      <w:r w:rsidR="00F62BD1" w:rsidRPr="008F7B68">
        <w:rPr>
          <w:rFonts w:cs="Arial" w:hint="eastAsia"/>
          <w:lang w:val="en-GB" w:eastAsia="ja-JP"/>
        </w:rPr>
        <w:t>and transformer configuration (330/132kV, 2x150MVA or 132/33kV, 2x60MVA</w:t>
      </w:r>
      <w:r w:rsidR="003F429B" w:rsidRPr="008F7B68">
        <w:rPr>
          <w:rFonts w:cs="Arial" w:hint="eastAsia"/>
          <w:lang w:val="en-GB" w:eastAsia="ja-JP"/>
        </w:rPr>
        <w:t xml:space="preserve"> or both</w:t>
      </w:r>
      <w:r w:rsidR="00F62BD1" w:rsidRPr="008F7B68">
        <w:rPr>
          <w:rFonts w:cs="Arial" w:hint="eastAsia"/>
          <w:lang w:val="en-GB" w:eastAsia="ja-JP"/>
        </w:rPr>
        <w:t>)</w:t>
      </w:r>
      <w:r w:rsidR="003F429B" w:rsidRPr="008F7B68">
        <w:rPr>
          <w:rFonts w:cs="Arial" w:hint="eastAsia"/>
          <w:lang w:val="en-GB" w:eastAsia="ja-JP"/>
        </w:rPr>
        <w:t>.</w:t>
      </w:r>
      <w:bookmarkStart w:id="11" w:name="_GoBack"/>
      <w:bookmarkEnd w:id="11"/>
    </w:p>
    <w:p w:rsidR="000019A8" w:rsidRPr="008F7B68" w:rsidRDefault="000019A8" w:rsidP="000019A8">
      <w:pPr>
        <w:spacing w:line="240" w:lineRule="auto"/>
        <w:rPr>
          <w:rFonts w:cs="Arial"/>
          <w:lang w:val="en-GB"/>
        </w:rPr>
      </w:pPr>
    </w:p>
    <w:p w:rsidR="0056026E" w:rsidRPr="0056026E" w:rsidRDefault="0056026E" w:rsidP="0056026E">
      <w:pPr>
        <w:jc w:val="both"/>
        <w:rPr>
          <w:rFonts w:cs="Arial"/>
          <w:lang w:val="en-GB"/>
        </w:rPr>
      </w:pPr>
      <w:r w:rsidRPr="0056026E">
        <w:rPr>
          <w:rFonts w:cs="Arial"/>
          <w:lang w:val="en-GB"/>
        </w:rPr>
        <w:t xml:space="preserve">The projects in Financing Package 2 have been organized into 5 orderly groupings based on geographical regions, as listed in </w:t>
      </w:r>
      <w:r w:rsidR="00CF05A0">
        <w:rPr>
          <w:rFonts w:cs="Arial"/>
          <w:lang w:val="en-GB"/>
        </w:rPr>
        <w:fldChar w:fldCharType="begin"/>
      </w:r>
      <w:r>
        <w:rPr>
          <w:rFonts w:cs="Arial"/>
          <w:lang w:val="en-GB"/>
        </w:rPr>
        <w:instrText xml:space="preserve"> REF _Ref381186510 \h </w:instrText>
      </w:r>
      <w:r w:rsidR="00CF05A0">
        <w:rPr>
          <w:rFonts w:cs="Arial"/>
          <w:lang w:val="en-GB"/>
        </w:rPr>
      </w:r>
      <w:r w:rsidR="00CF05A0">
        <w:rPr>
          <w:rFonts w:cs="Arial"/>
          <w:lang w:val="en-GB"/>
        </w:rPr>
        <w:fldChar w:fldCharType="separate"/>
      </w:r>
      <w:r>
        <w:t xml:space="preserve">Table </w:t>
      </w:r>
      <w:r>
        <w:rPr>
          <w:noProof/>
        </w:rPr>
        <w:t>3</w:t>
      </w:r>
      <w:r>
        <w:noBreakHyphen/>
      </w:r>
      <w:r>
        <w:rPr>
          <w:noProof/>
        </w:rPr>
        <w:t>2</w:t>
      </w:r>
      <w:r w:rsidR="00CF05A0">
        <w:rPr>
          <w:rFonts w:cs="Arial"/>
          <w:lang w:val="en-GB"/>
        </w:rPr>
        <w:fldChar w:fldCharType="end"/>
      </w:r>
      <w:r w:rsidRPr="0056026E">
        <w:rPr>
          <w:rFonts w:cs="Arial"/>
          <w:lang w:val="en-GB"/>
        </w:rPr>
        <w:t xml:space="preserve"> and shown on the TCN Transmission System Map </w:t>
      </w:r>
      <w:r>
        <w:rPr>
          <w:rFonts w:cs="Arial"/>
          <w:lang w:val="en-GB"/>
        </w:rPr>
        <w:t xml:space="preserve">in </w:t>
      </w:r>
      <w:r w:rsidR="00CF05A0">
        <w:rPr>
          <w:rFonts w:cs="Arial"/>
          <w:lang w:val="en-GB"/>
        </w:rPr>
        <w:fldChar w:fldCharType="begin"/>
      </w:r>
      <w:r>
        <w:rPr>
          <w:rFonts w:cs="Arial"/>
          <w:lang w:val="en-GB"/>
        </w:rPr>
        <w:instrText xml:space="preserve"> REF _Ref381093542 \w \h </w:instrText>
      </w:r>
      <w:r w:rsidR="00CF05A0">
        <w:rPr>
          <w:rFonts w:cs="Arial"/>
          <w:lang w:val="en-GB"/>
        </w:rPr>
      </w:r>
      <w:r w:rsidR="00CF05A0">
        <w:rPr>
          <w:rFonts w:cs="Arial"/>
          <w:lang w:val="en-GB"/>
        </w:rPr>
        <w:fldChar w:fldCharType="separate"/>
      </w:r>
      <w:r>
        <w:rPr>
          <w:rFonts w:cs="Arial"/>
          <w:lang w:val="en-GB"/>
        </w:rPr>
        <w:t>Appendix C</w:t>
      </w:r>
      <w:r w:rsidR="00CF05A0">
        <w:rPr>
          <w:rFonts w:cs="Arial"/>
          <w:lang w:val="en-GB"/>
        </w:rPr>
        <w:fldChar w:fldCharType="end"/>
      </w:r>
      <w:r w:rsidRPr="0056026E">
        <w:rPr>
          <w:rFonts w:cs="Arial"/>
          <w:lang w:val="en-GB"/>
        </w:rPr>
        <w:t xml:space="preserve">.  Projects </w:t>
      </w:r>
      <w:r>
        <w:rPr>
          <w:rFonts w:cs="Arial"/>
          <w:lang w:val="en-GB"/>
        </w:rPr>
        <w:t>are grouped to optimize the overall</w:t>
      </w:r>
      <w:r w:rsidRPr="0056026E">
        <w:rPr>
          <w:rFonts w:cs="Arial"/>
          <w:lang w:val="en-GB"/>
        </w:rPr>
        <w:t xml:space="preserve"> benefits</w:t>
      </w:r>
      <w:r>
        <w:rPr>
          <w:rFonts w:cs="Arial"/>
          <w:lang w:val="en-GB"/>
        </w:rPr>
        <w:t xml:space="preserve">, as </w:t>
      </w:r>
      <w:r w:rsidRPr="0056026E">
        <w:rPr>
          <w:rFonts w:cs="Arial"/>
          <w:lang w:val="en-GB"/>
        </w:rPr>
        <w:t xml:space="preserve">projects in Groups are interdependent and </w:t>
      </w:r>
      <w:r>
        <w:rPr>
          <w:rFonts w:cs="Arial"/>
          <w:lang w:val="en-GB"/>
        </w:rPr>
        <w:t>must be completed together</w:t>
      </w:r>
      <w:r w:rsidRPr="0056026E">
        <w:rPr>
          <w:rFonts w:cs="Arial"/>
          <w:lang w:val="en-GB"/>
        </w:rPr>
        <w:t xml:space="preserve">.  Grouping projects within the same geographical area may be advantageous for mobilizing construction work, since all components of the group will be within the same proximity.  </w:t>
      </w:r>
    </w:p>
    <w:p w:rsidR="0056026E" w:rsidRPr="0056026E" w:rsidRDefault="0056026E" w:rsidP="0056026E">
      <w:pPr>
        <w:jc w:val="both"/>
        <w:rPr>
          <w:rFonts w:cs="Arial"/>
          <w:lang w:val="en-GB"/>
        </w:rPr>
      </w:pPr>
    </w:p>
    <w:p w:rsidR="0056026E" w:rsidRDefault="0056026E" w:rsidP="0056026E">
      <w:pPr>
        <w:jc w:val="both"/>
        <w:rPr>
          <w:rFonts w:cs="Arial"/>
          <w:lang w:val="en-GB"/>
        </w:rPr>
      </w:pPr>
      <w:r w:rsidRPr="0056026E">
        <w:rPr>
          <w:rFonts w:cs="Arial"/>
          <w:lang w:val="en-GB"/>
        </w:rPr>
        <w:t xml:space="preserve">It is the hope of TCN that funders will support a specific group of projects, or combine with others to fund a group. Once funding is in place for a specific group, contractors (or consortiums) will be invited to bid for EPC contracts for that group.  </w:t>
      </w:r>
    </w:p>
    <w:p w:rsidR="003B4DAD" w:rsidRDefault="003B4DAD" w:rsidP="003B7668">
      <w:pPr>
        <w:jc w:val="both"/>
        <w:rPr>
          <w:rFonts w:cs="Arial"/>
          <w:lang w:val="en-GB"/>
        </w:rPr>
      </w:pPr>
    </w:p>
    <w:p w:rsidR="00B2235A" w:rsidRDefault="00B2235A" w:rsidP="00B2235A">
      <w:pPr>
        <w:pStyle w:val="Caption"/>
      </w:pPr>
      <w:bookmarkStart w:id="12" w:name="_Ref381186510"/>
      <w:r>
        <w:t xml:space="preserve">Table </w:t>
      </w:r>
      <w:r w:rsidR="00CF05A0">
        <w:fldChar w:fldCharType="begin"/>
      </w:r>
      <w:r w:rsidR="006D7424">
        <w:instrText xml:space="preserve"> STYLEREF 1 \s </w:instrText>
      </w:r>
      <w:r w:rsidR="00CF05A0">
        <w:fldChar w:fldCharType="separate"/>
      </w:r>
      <w:r w:rsidR="0056026E">
        <w:rPr>
          <w:noProof/>
        </w:rPr>
        <w:t>3</w:t>
      </w:r>
      <w:r w:rsidR="00CF05A0">
        <w:rPr>
          <w:noProof/>
        </w:rPr>
        <w:fldChar w:fldCharType="end"/>
      </w:r>
      <w:r>
        <w:noBreakHyphen/>
      </w:r>
      <w:r w:rsidR="00CF05A0">
        <w:fldChar w:fldCharType="begin"/>
      </w:r>
      <w:r w:rsidR="006D7424">
        <w:instrText xml:space="preserve"> SEQ Table \* ARABIC \s 1 </w:instrText>
      </w:r>
      <w:r w:rsidR="00CF05A0">
        <w:fldChar w:fldCharType="separate"/>
      </w:r>
      <w:r w:rsidR="0056026E">
        <w:rPr>
          <w:noProof/>
        </w:rPr>
        <w:t>2</w:t>
      </w:r>
      <w:r w:rsidR="00CF05A0">
        <w:rPr>
          <w:noProof/>
        </w:rPr>
        <w:fldChar w:fldCharType="end"/>
      </w:r>
      <w:bookmarkEnd w:id="12"/>
      <w:r>
        <w:t>: Geographic Project Groups for Financing Package 2</w:t>
      </w:r>
    </w:p>
    <w:tbl>
      <w:tblPr>
        <w:tblStyle w:val="TableGrid"/>
        <w:tblW w:w="0" w:type="auto"/>
        <w:tblLook w:val="04A0"/>
      </w:tblPr>
      <w:tblGrid>
        <w:gridCol w:w="1074"/>
        <w:gridCol w:w="4346"/>
        <w:gridCol w:w="2045"/>
        <w:gridCol w:w="1823"/>
      </w:tblGrid>
      <w:tr w:rsidR="00402A44" w:rsidRPr="00402A44" w:rsidTr="00402A44">
        <w:tc>
          <w:tcPr>
            <w:tcW w:w="1074" w:type="dxa"/>
            <w:tcBorders>
              <w:bottom w:val="nil"/>
            </w:tcBorders>
          </w:tcPr>
          <w:p w:rsidR="00402A44" w:rsidRPr="00402A44" w:rsidRDefault="00402A44" w:rsidP="00402A44">
            <w:pPr>
              <w:keepNext/>
              <w:jc w:val="center"/>
              <w:rPr>
                <w:rFonts w:cs="Arial"/>
                <w:b/>
                <w:lang w:val="en-GB"/>
              </w:rPr>
            </w:pPr>
            <w:r w:rsidRPr="00402A44">
              <w:rPr>
                <w:rFonts w:cs="Arial"/>
                <w:b/>
                <w:lang w:val="en-GB"/>
              </w:rPr>
              <w:t>Group</w:t>
            </w:r>
          </w:p>
        </w:tc>
        <w:tc>
          <w:tcPr>
            <w:tcW w:w="4346" w:type="dxa"/>
            <w:tcBorders>
              <w:bottom w:val="nil"/>
            </w:tcBorders>
          </w:tcPr>
          <w:p w:rsidR="00402A44" w:rsidRPr="00402A44" w:rsidRDefault="00402A44" w:rsidP="00402A44">
            <w:pPr>
              <w:keepNext/>
              <w:jc w:val="center"/>
              <w:rPr>
                <w:rFonts w:cs="Arial"/>
                <w:b/>
                <w:lang w:val="en-GB"/>
              </w:rPr>
            </w:pPr>
            <w:r w:rsidRPr="00402A44">
              <w:rPr>
                <w:rFonts w:cs="Arial"/>
                <w:b/>
                <w:lang w:val="en-GB"/>
              </w:rPr>
              <w:t>Region</w:t>
            </w:r>
          </w:p>
        </w:tc>
        <w:tc>
          <w:tcPr>
            <w:tcW w:w="3868" w:type="dxa"/>
            <w:gridSpan w:val="2"/>
          </w:tcPr>
          <w:p w:rsidR="00402A44" w:rsidRPr="00402A44" w:rsidRDefault="00402A44" w:rsidP="00402A44">
            <w:pPr>
              <w:keepNext/>
              <w:jc w:val="center"/>
              <w:rPr>
                <w:rFonts w:cs="Arial"/>
                <w:b/>
                <w:lang w:val="en-GB"/>
              </w:rPr>
            </w:pPr>
            <w:r w:rsidRPr="00402A44">
              <w:rPr>
                <w:rFonts w:cs="Arial"/>
                <w:b/>
                <w:lang w:val="en-GB"/>
              </w:rPr>
              <w:t>Total Funding Required</w:t>
            </w:r>
          </w:p>
        </w:tc>
      </w:tr>
      <w:tr w:rsidR="00402A44" w:rsidRPr="00402A44" w:rsidTr="0056026E">
        <w:tc>
          <w:tcPr>
            <w:tcW w:w="1074" w:type="dxa"/>
            <w:tcBorders>
              <w:top w:val="nil"/>
              <w:bottom w:val="single" w:sz="4" w:space="0" w:color="auto"/>
            </w:tcBorders>
          </w:tcPr>
          <w:p w:rsidR="00402A44" w:rsidRPr="00402A44" w:rsidRDefault="00402A44" w:rsidP="00B2235A">
            <w:pPr>
              <w:keepNext/>
              <w:jc w:val="both"/>
              <w:rPr>
                <w:rFonts w:cs="Arial"/>
                <w:b/>
                <w:lang w:val="en-GB"/>
              </w:rPr>
            </w:pPr>
          </w:p>
        </w:tc>
        <w:tc>
          <w:tcPr>
            <w:tcW w:w="4346" w:type="dxa"/>
            <w:tcBorders>
              <w:top w:val="nil"/>
              <w:bottom w:val="single" w:sz="4" w:space="0" w:color="auto"/>
            </w:tcBorders>
          </w:tcPr>
          <w:p w:rsidR="00402A44" w:rsidRPr="00402A44" w:rsidRDefault="00402A44" w:rsidP="00B2235A">
            <w:pPr>
              <w:keepNext/>
              <w:jc w:val="both"/>
              <w:rPr>
                <w:rFonts w:cs="Arial"/>
                <w:b/>
                <w:lang w:val="en-GB"/>
              </w:rPr>
            </w:pPr>
          </w:p>
        </w:tc>
        <w:tc>
          <w:tcPr>
            <w:tcW w:w="2045" w:type="dxa"/>
            <w:tcBorders>
              <w:bottom w:val="single" w:sz="4" w:space="0" w:color="auto"/>
            </w:tcBorders>
          </w:tcPr>
          <w:p w:rsidR="00402A44" w:rsidRPr="00402A44" w:rsidRDefault="00402A44" w:rsidP="00402A44">
            <w:pPr>
              <w:keepNext/>
              <w:jc w:val="center"/>
              <w:rPr>
                <w:rFonts w:cs="Arial"/>
                <w:b/>
                <w:lang w:val="en-GB"/>
              </w:rPr>
            </w:pPr>
            <w:r w:rsidRPr="00402A44">
              <w:rPr>
                <w:rFonts w:cs="Arial"/>
                <w:b/>
                <w:lang w:val="en-GB"/>
              </w:rPr>
              <w:t>$Million USD</w:t>
            </w:r>
          </w:p>
        </w:tc>
        <w:tc>
          <w:tcPr>
            <w:tcW w:w="1823" w:type="dxa"/>
            <w:tcBorders>
              <w:bottom w:val="single" w:sz="4" w:space="0" w:color="auto"/>
            </w:tcBorders>
            <w:shd w:val="clear" w:color="auto" w:fill="DDD9C3" w:themeFill="background2" w:themeFillShade="E6"/>
          </w:tcPr>
          <w:p w:rsidR="00402A44" w:rsidRPr="00402A44" w:rsidRDefault="00402A44" w:rsidP="00402A44">
            <w:pPr>
              <w:keepNext/>
              <w:jc w:val="center"/>
              <w:rPr>
                <w:rFonts w:cs="Arial"/>
                <w:b/>
                <w:lang w:val="en-GB"/>
              </w:rPr>
            </w:pPr>
            <w:r w:rsidRPr="00402A44">
              <w:rPr>
                <w:rFonts w:cs="Arial"/>
                <w:b/>
                <w:lang w:val="en-GB"/>
              </w:rPr>
              <w:t>Billion NGN</w:t>
            </w:r>
          </w:p>
        </w:tc>
      </w:tr>
      <w:tr w:rsidR="003B4DAD" w:rsidRPr="00B2235A" w:rsidTr="0056026E">
        <w:tc>
          <w:tcPr>
            <w:tcW w:w="1074" w:type="dxa"/>
            <w:tcBorders>
              <w:bottom w:val="nil"/>
            </w:tcBorders>
          </w:tcPr>
          <w:p w:rsidR="003B4DAD" w:rsidRPr="00B2235A" w:rsidRDefault="003B4DAD" w:rsidP="00B2235A">
            <w:pPr>
              <w:keepNext/>
              <w:jc w:val="both"/>
              <w:rPr>
                <w:rFonts w:cs="Arial"/>
                <w:lang w:val="en-GB"/>
              </w:rPr>
            </w:pPr>
            <w:r>
              <w:rPr>
                <w:rFonts w:cs="Arial"/>
                <w:lang w:val="en-GB"/>
              </w:rPr>
              <w:t>1</w:t>
            </w:r>
          </w:p>
        </w:tc>
        <w:tc>
          <w:tcPr>
            <w:tcW w:w="4346" w:type="dxa"/>
            <w:tcBorders>
              <w:bottom w:val="nil"/>
            </w:tcBorders>
          </w:tcPr>
          <w:p w:rsidR="003B4DAD" w:rsidRPr="00B2235A" w:rsidRDefault="003B4DAD" w:rsidP="00B2235A">
            <w:pPr>
              <w:keepNext/>
              <w:jc w:val="both"/>
              <w:rPr>
                <w:rFonts w:cs="Arial"/>
                <w:lang w:val="en-GB"/>
              </w:rPr>
            </w:pPr>
            <w:proofErr w:type="spellStart"/>
            <w:r>
              <w:rPr>
                <w:rFonts w:cs="Arial"/>
                <w:lang w:val="en-GB"/>
              </w:rPr>
              <w:t>Kainji-Birnin</w:t>
            </w:r>
            <w:proofErr w:type="spellEnd"/>
            <w:r>
              <w:rPr>
                <w:rFonts w:cs="Arial"/>
                <w:lang w:val="en-GB"/>
              </w:rPr>
              <w:t xml:space="preserve"> </w:t>
            </w:r>
            <w:proofErr w:type="spellStart"/>
            <w:r>
              <w:rPr>
                <w:rFonts w:cs="Arial"/>
                <w:lang w:val="en-GB"/>
              </w:rPr>
              <w:t>Kebbi-Gusau</w:t>
            </w:r>
            <w:proofErr w:type="spellEnd"/>
          </w:p>
        </w:tc>
        <w:tc>
          <w:tcPr>
            <w:tcW w:w="2045" w:type="dxa"/>
            <w:tcBorders>
              <w:bottom w:val="nil"/>
            </w:tcBorders>
          </w:tcPr>
          <w:p w:rsidR="003B4DAD" w:rsidRPr="00A821B4" w:rsidRDefault="003B4DAD" w:rsidP="003B4DAD">
            <w:pPr>
              <w:jc w:val="center"/>
            </w:pPr>
            <w:r w:rsidRPr="00A821B4">
              <w:t>$412</w:t>
            </w:r>
          </w:p>
        </w:tc>
        <w:tc>
          <w:tcPr>
            <w:tcW w:w="1823" w:type="dxa"/>
            <w:tcBorders>
              <w:bottom w:val="nil"/>
            </w:tcBorders>
            <w:shd w:val="clear" w:color="auto" w:fill="DDD9C3" w:themeFill="background2" w:themeFillShade="E6"/>
          </w:tcPr>
          <w:p w:rsidR="003B4DAD" w:rsidRPr="00A821B4" w:rsidRDefault="003B4DAD" w:rsidP="003B4DAD">
            <w:pPr>
              <w:jc w:val="center"/>
            </w:pPr>
            <w:r w:rsidRPr="00A821B4">
              <w:t>6</w:t>
            </w:r>
            <w:r>
              <w:t>6</w:t>
            </w:r>
          </w:p>
        </w:tc>
      </w:tr>
      <w:tr w:rsidR="003B4DAD" w:rsidRPr="00B2235A" w:rsidTr="0056026E">
        <w:tc>
          <w:tcPr>
            <w:tcW w:w="1074" w:type="dxa"/>
            <w:tcBorders>
              <w:top w:val="nil"/>
              <w:bottom w:val="nil"/>
            </w:tcBorders>
          </w:tcPr>
          <w:p w:rsidR="003B4DAD" w:rsidRDefault="003B4DAD" w:rsidP="00B2235A">
            <w:pPr>
              <w:keepNext/>
              <w:jc w:val="both"/>
              <w:rPr>
                <w:rFonts w:cs="Arial"/>
                <w:lang w:val="en-GB"/>
              </w:rPr>
            </w:pPr>
            <w:r>
              <w:rPr>
                <w:rFonts w:cs="Arial"/>
                <w:lang w:val="en-GB"/>
              </w:rPr>
              <w:t>2</w:t>
            </w:r>
          </w:p>
        </w:tc>
        <w:tc>
          <w:tcPr>
            <w:tcW w:w="4346" w:type="dxa"/>
            <w:tcBorders>
              <w:top w:val="nil"/>
              <w:bottom w:val="nil"/>
            </w:tcBorders>
          </w:tcPr>
          <w:p w:rsidR="003B4DAD" w:rsidRDefault="003B4DAD" w:rsidP="00B2235A">
            <w:pPr>
              <w:keepNext/>
              <w:jc w:val="both"/>
              <w:rPr>
                <w:rFonts w:cs="Arial"/>
                <w:lang w:val="en-GB"/>
              </w:rPr>
            </w:pPr>
            <w:r w:rsidRPr="003B4DAD">
              <w:rPr>
                <w:rFonts w:cs="Arial"/>
                <w:lang w:val="en-GB"/>
              </w:rPr>
              <w:t>Lagos</w:t>
            </w:r>
          </w:p>
        </w:tc>
        <w:tc>
          <w:tcPr>
            <w:tcW w:w="2045" w:type="dxa"/>
            <w:tcBorders>
              <w:top w:val="nil"/>
              <w:bottom w:val="nil"/>
            </w:tcBorders>
          </w:tcPr>
          <w:p w:rsidR="003B4DAD" w:rsidRPr="00A821B4" w:rsidRDefault="003B4DAD" w:rsidP="003B4DAD">
            <w:pPr>
              <w:jc w:val="center"/>
            </w:pPr>
            <w:r w:rsidRPr="00A821B4">
              <w:t>$548</w:t>
            </w:r>
          </w:p>
        </w:tc>
        <w:tc>
          <w:tcPr>
            <w:tcW w:w="1823" w:type="dxa"/>
            <w:tcBorders>
              <w:top w:val="nil"/>
              <w:bottom w:val="nil"/>
            </w:tcBorders>
            <w:shd w:val="clear" w:color="auto" w:fill="DDD9C3" w:themeFill="background2" w:themeFillShade="E6"/>
          </w:tcPr>
          <w:p w:rsidR="003B4DAD" w:rsidRPr="00A821B4" w:rsidRDefault="003B4DAD" w:rsidP="003B4DAD">
            <w:pPr>
              <w:jc w:val="center"/>
            </w:pPr>
            <w:r w:rsidRPr="00A821B4">
              <w:t>8</w:t>
            </w:r>
            <w:r>
              <w:t>8</w:t>
            </w:r>
          </w:p>
        </w:tc>
      </w:tr>
      <w:tr w:rsidR="003B4DAD" w:rsidRPr="00B2235A" w:rsidTr="0056026E">
        <w:tc>
          <w:tcPr>
            <w:tcW w:w="1074" w:type="dxa"/>
            <w:tcBorders>
              <w:top w:val="nil"/>
              <w:bottom w:val="nil"/>
            </w:tcBorders>
          </w:tcPr>
          <w:p w:rsidR="003B4DAD" w:rsidRDefault="003B4DAD" w:rsidP="00B2235A">
            <w:pPr>
              <w:keepNext/>
              <w:jc w:val="both"/>
              <w:rPr>
                <w:rFonts w:cs="Arial"/>
                <w:lang w:val="en-GB"/>
              </w:rPr>
            </w:pPr>
            <w:r>
              <w:rPr>
                <w:rFonts w:cs="Arial"/>
                <w:lang w:val="en-GB"/>
              </w:rPr>
              <w:t>3</w:t>
            </w:r>
          </w:p>
        </w:tc>
        <w:tc>
          <w:tcPr>
            <w:tcW w:w="4346" w:type="dxa"/>
            <w:tcBorders>
              <w:top w:val="nil"/>
              <w:bottom w:val="nil"/>
            </w:tcBorders>
          </w:tcPr>
          <w:p w:rsidR="003B4DAD" w:rsidRDefault="003B4DAD" w:rsidP="00B2235A">
            <w:pPr>
              <w:keepNext/>
              <w:jc w:val="both"/>
              <w:rPr>
                <w:rFonts w:cs="Arial"/>
                <w:lang w:val="en-GB"/>
              </w:rPr>
            </w:pPr>
            <w:proofErr w:type="spellStart"/>
            <w:r w:rsidRPr="003B4DAD">
              <w:rPr>
                <w:rFonts w:cs="Arial"/>
                <w:lang w:val="en-GB"/>
              </w:rPr>
              <w:t>Jos</w:t>
            </w:r>
            <w:proofErr w:type="spellEnd"/>
            <w:r w:rsidRPr="003B4DAD">
              <w:rPr>
                <w:rFonts w:cs="Arial"/>
                <w:lang w:val="en-GB"/>
              </w:rPr>
              <w:t xml:space="preserve"> – </w:t>
            </w:r>
            <w:proofErr w:type="spellStart"/>
            <w:r w:rsidRPr="003B4DAD">
              <w:rPr>
                <w:rFonts w:cs="Arial"/>
                <w:lang w:val="en-GB"/>
              </w:rPr>
              <w:t>Gombe</w:t>
            </w:r>
            <w:proofErr w:type="spellEnd"/>
            <w:r w:rsidRPr="003B4DAD">
              <w:rPr>
                <w:rFonts w:cs="Arial"/>
                <w:lang w:val="en-GB"/>
              </w:rPr>
              <w:t xml:space="preserve"> – </w:t>
            </w:r>
            <w:proofErr w:type="spellStart"/>
            <w:r w:rsidRPr="003B4DAD">
              <w:rPr>
                <w:rFonts w:cs="Arial"/>
                <w:lang w:val="en-GB"/>
              </w:rPr>
              <w:t>Damaturu</w:t>
            </w:r>
            <w:proofErr w:type="spellEnd"/>
          </w:p>
        </w:tc>
        <w:tc>
          <w:tcPr>
            <w:tcW w:w="2045" w:type="dxa"/>
            <w:tcBorders>
              <w:top w:val="nil"/>
              <w:bottom w:val="nil"/>
            </w:tcBorders>
          </w:tcPr>
          <w:p w:rsidR="003B4DAD" w:rsidRPr="00A821B4" w:rsidRDefault="003B4DAD" w:rsidP="003B4DAD">
            <w:pPr>
              <w:jc w:val="center"/>
            </w:pPr>
            <w:r w:rsidRPr="00A821B4">
              <w:t>$246</w:t>
            </w:r>
          </w:p>
        </w:tc>
        <w:tc>
          <w:tcPr>
            <w:tcW w:w="1823" w:type="dxa"/>
            <w:tcBorders>
              <w:top w:val="nil"/>
              <w:bottom w:val="nil"/>
            </w:tcBorders>
            <w:shd w:val="clear" w:color="auto" w:fill="DDD9C3" w:themeFill="background2" w:themeFillShade="E6"/>
          </w:tcPr>
          <w:p w:rsidR="003B4DAD" w:rsidRPr="00A821B4" w:rsidRDefault="003B4DAD" w:rsidP="003B4DAD">
            <w:pPr>
              <w:jc w:val="center"/>
            </w:pPr>
            <w:r w:rsidRPr="00A821B4">
              <w:t>39</w:t>
            </w:r>
          </w:p>
        </w:tc>
      </w:tr>
      <w:tr w:rsidR="003B4DAD" w:rsidRPr="00B2235A" w:rsidTr="0056026E">
        <w:tc>
          <w:tcPr>
            <w:tcW w:w="1074" w:type="dxa"/>
            <w:tcBorders>
              <w:top w:val="nil"/>
              <w:bottom w:val="nil"/>
            </w:tcBorders>
          </w:tcPr>
          <w:p w:rsidR="003B4DAD" w:rsidRDefault="003B4DAD" w:rsidP="00B2235A">
            <w:pPr>
              <w:keepNext/>
              <w:jc w:val="both"/>
              <w:rPr>
                <w:rFonts w:cs="Arial"/>
                <w:lang w:val="en-GB"/>
              </w:rPr>
            </w:pPr>
            <w:r>
              <w:rPr>
                <w:rFonts w:cs="Arial"/>
                <w:lang w:val="en-GB"/>
              </w:rPr>
              <w:t>4</w:t>
            </w:r>
          </w:p>
        </w:tc>
        <w:tc>
          <w:tcPr>
            <w:tcW w:w="4346" w:type="dxa"/>
            <w:tcBorders>
              <w:top w:val="nil"/>
              <w:bottom w:val="nil"/>
            </w:tcBorders>
          </w:tcPr>
          <w:p w:rsidR="003B4DAD" w:rsidRDefault="003B4DAD" w:rsidP="00B2235A">
            <w:pPr>
              <w:keepNext/>
              <w:jc w:val="both"/>
              <w:rPr>
                <w:rFonts w:cs="Arial"/>
                <w:lang w:val="en-GB"/>
              </w:rPr>
            </w:pPr>
            <w:proofErr w:type="spellStart"/>
            <w:r w:rsidRPr="003B4DAD">
              <w:rPr>
                <w:rFonts w:cs="Arial"/>
                <w:lang w:val="en-GB"/>
              </w:rPr>
              <w:t>Awka</w:t>
            </w:r>
            <w:proofErr w:type="spellEnd"/>
            <w:r w:rsidRPr="003B4DAD">
              <w:rPr>
                <w:rFonts w:cs="Arial"/>
                <w:lang w:val="en-GB"/>
              </w:rPr>
              <w:t xml:space="preserve"> – </w:t>
            </w:r>
            <w:proofErr w:type="spellStart"/>
            <w:r w:rsidRPr="003B4DAD">
              <w:rPr>
                <w:rFonts w:cs="Arial"/>
                <w:lang w:val="en-GB"/>
              </w:rPr>
              <w:t>Ugwuaji</w:t>
            </w:r>
            <w:proofErr w:type="spellEnd"/>
            <w:r w:rsidRPr="003B4DAD">
              <w:rPr>
                <w:rFonts w:cs="Arial"/>
                <w:lang w:val="en-GB"/>
              </w:rPr>
              <w:t xml:space="preserve"> – Jos</w:t>
            </w:r>
          </w:p>
        </w:tc>
        <w:tc>
          <w:tcPr>
            <w:tcW w:w="2045" w:type="dxa"/>
            <w:tcBorders>
              <w:top w:val="nil"/>
              <w:bottom w:val="nil"/>
            </w:tcBorders>
          </w:tcPr>
          <w:p w:rsidR="003B4DAD" w:rsidRPr="00A821B4" w:rsidRDefault="003B4DAD" w:rsidP="003B4DAD">
            <w:pPr>
              <w:jc w:val="center"/>
            </w:pPr>
            <w:r w:rsidRPr="00A821B4">
              <w:t>$617</w:t>
            </w:r>
          </w:p>
        </w:tc>
        <w:tc>
          <w:tcPr>
            <w:tcW w:w="1823" w:type="dxa"/>
            <w:tcBorders>
              <w:top w:val="nil"/>
              <w:bottom w:val="nil"/>
            </w:tcBorders>
            <w:shd w:val="clear" w:color="auto" w:fill="DDD9C3" w:themeFill="background2" w:themeFillShade="E6"/>
          </w:tcPr>
          <w:p w:rsidR="003B4DAD" w:rsidRPr="00A821B4" w:rsidRDefault="003B4DAD" w:rsidP="003B4DAD">
            <w:pPr>
              <w:jc w:val="center"/>
            </w:pPr>
            <w:r w:rsidRPr="00A821B4">
              <w:t>9</w:t>
            </w:r>
            <w:r>
              <w:t>9</w:t>
            </w:r>
          </w:p>
        </w:tc>
      </w:tr>
      <w:tr w:rsidR="003B4DAD" w:rsidRPr="00B2235A" w:rsidTr="0056026E">
        <w:tc>
          <w:tcPr>
            <w:tcW w:w="1074" w:type="dxa"/>
            <w:tcBorders>
              <w:top w:val="nil"/>
            </w:tcBorders>
          </w:tcPr>
          <w:p w:rsidR="003B4DAD" w:rsidRDefault="003B4DAD" w:rsidP="00B2235A">
            <w:pPr>
              <w:keepNext/>
              <w:jc w:val="both"/>
              <w:rPr>
                <w:rFonts w:cs="Arial"/>
                <w:lang w:val="en-GB"/>
              </w:rPr>
            </w:pPr>
            <w:r>
              <w:rPr>
                <w:rFonts w:cs="Arial"/>
                <w:lang w:val="en-GB"/>
              </w:rPr>
              <w:t>5</w:t>
            </w:r>
          </w:p>
        </w:tc>
        <w:tc>
          <w:tcPr>
            <w:tcW w:w="4346" w:type="dxa"/>
            <w:tcBorders>
              <w:top w:val="nil"/>
            </w:tcBorders>
          </w:tcPr>
          <w:p w:rsidR="003B4DAD" w:rsidRDefault="003B4DAD" w:rsidP="00B2235A">
            <w:pPr>
              <w:keepNext/>
              <w:jc w:val="both"/>
              <w:rPr>
                <w:rFonts w:cs="Arial"/>
                <w:lang w:val="en-GB"/>
              </w:rPr>
            </w:pPr>
            <w:r w:rsidRPr="003B4DAD">
              <w:rPr>
                <w:rFonts w:cs="Arial"/>
                <w:lang w:val="en-GB"/>
              </w:rPr>
              <w:t xml:space="preserve">Benin – </w:t>
            </w:r>
            <w:proofErr w:type="spellStart"/>
            <w:r w:rsidRPr="003B4DAD">
              <w:rPr>
                <w:rFonts w:cs="Arial"/>
                <w:lang w:val="en-GB"/>
              </w:rPr>
              <w:t>Katampe</w:t>
            </w:r>
            <w:proofErr w:type="spellEnd"/>
          </w:p>
        </w:tc>
        <w:tc>
          <w:tcPr>
            <w:tcW w:w="2045" w:type="dxa"/>
            <w:tcBorders>
              <w:top w:val="nil"/>
            </w:tcBorders>
          </w:tcPr>
          <w:p w:rsidR="003B4DAD" w:rsidRPr="00A821B4" w:rsidRDefault="003B4DAD" w:rsidP="003B4DAD">
            <w:pPr>
              <w:jc w:val="center"/>
            </w:pPr>
            <w:r w:rsidRPr="00A821B4">
              <w:t>$385</w:t>
            </w:r>
          </w:p>
        </w:tc>
        <w:tc>
          <w:tcPr>
            <w:tcW w:w="1823" w:type="dxa"/>
            <w:tcBorders>
              <w:top w:val="nil"/>
            </w:tcBorders>
            <w:shd w:val="clear" w:color="auto" w:fill="DDD9C3" w:themeFill="background2" w:themeFillShade="E6"/>
          </w:tcPr>
          <w:p w:rsidR="003B4DAD" w:rsidRPr="00A821B4" w:rsidRDefault="003B4DAD" w:rsidP="003B4DAD">
            <w:pPr>
              <w:jc w:val="center"/>
            </w:pPr>
            <w:r w:rsidRPr="00A821B4">
              <w:t>6</w:t>
            </w:r>
            <w:r>
              <w:t>2</w:t>
            </w:r>
          </w:p>
        </w:tc>
      </w:tr>
      <w:tr w:rsidR="003B4DAD" w:rsidRPr="00B2235A" w:rsidTr="0056026E">
        <w:tc>
          <w:tcPr>
            <w:tcW w:w="1074" w:type="dxa"/>
          </w:tcPr>
          <w:p w:rsidR="003B4DAD" w:rsidRDefault="003B4DAD" w:rsidP="00FB05F9">
            <w:pPr>
              <w:jc w:val="both"/>
              <w:rPr>
                <w:rFonts w:cs="Arial"/>
                <w:lang w:val="en-GB"/>
              </w:rPr>
            </w:pPr>
            <w:r>
              <w:rPr>
                <w:rFonts w:cs="Arial"/>
                <w:lang w:val="en-GB"/>
              </w:rPr>
              <w:t>Total</w:t>
            </w:r>
          </w:p>
        </w:tc>
        <w:tc>
          <w:tcPr>
            <w:tcW w:w="4346" w:type="dxa"/>
          </w:tcPr>
          <w:p w:rsidR="003B4DAD" w:rsidRDefault="003B4DAD" w:rsidP="00FB05F9">
            <w:pPr>
              <w:jc w:val="both"/>
              <w:rPr>
                <w:rFonts w:cs="Arial"/>
                <w:lang w:val="en-GB"/>
              </w:rPr>
            </w:pPr>
          </w:p>
        </w:tc>
        <w:tc>
          <w:tcPr>
            <w:tcW w:w="2045" w:type="dxa"/>
          </w:tcPr>
          <w:p w:rsidR="003B4DAD" w:rsidRPr="00A821B4" w:rsidRDefault="003B4DAD" w:rsidP="003B4DAD">
            <w:pPr>
              <w:jc w:val="center"/>
            </w:pPr>
            <w:r w:rsidRPr="00A821B4">
              <w:t>$2,208</w:t>
            </w:r>
          </w:p>
        </w:tc>
        <w:tc>
          <w:tcPr>
            <w:tcW w:w="1823" w:type="dxa"/>
            <w:shd w:val="clear" w:color="auto" w:fill="DDD9C3" w:themeFill="background2" w:themeFillShade="E6"/>
          </w:tcPr>
          <w:p w:rsidR="003B4DAD" w:rsidRDefault="003B4DAD" w:rsidP="003B4DAD">
            <w:pPr>
              <w:jc w:val="center"/>
            </w:pPr>
            <w:r w:rsidRPr="00A821B4">
              <w:t>353</w:t>
            </w:r>
          </w:p>
        </w:tc>
      </w:tr>
    </w:tbl>
    <w:p w:rsidR="00AF39C8" w:rsidRDefault="00AF39C8" w:rsidP="00AF39C8"/>
    <w:p w:rsidR="00E43B51" w:rsidRDefault="00E43B51" w:rsidP="00714A27">
      <w:pPr>
        <w:pStyle w:val="Heading2"/>
      </w:pPr>
      <w:bookmarkStart w:id="13" w:name="_Toc381186748"/>
      <w:r>
        <w:t xml:space="preserve">Financing Packages 3-5 – </w:t>
      </w:r>
      <w:r w:rsidR="007A69A8">
        <w:t>Incremental</w:t>
      </w:r>
      <w:r>
        <w:t xml:space="preserve"> Projects to Increase from10-20 GW</w:t>
      </w:r>
      <w:bookmarkEnd w:id="13"/>
    </w:p>
    <w:p w:rsidR="00E43B51" w:rsidRDefault="00E43B51" w:rsidP="00E43B51">
      <w:pPr>
        <w:rPr>
          <w:lang w:val="en-GB"/>
        </w:rPr>
      </w:pPr>
      <w:r>
        <w:rPr>
          <w:lang w:val="en-GB"/>
        </w:rPr>
        <w:t xml:space="preserve">TCN has developed draft plans for </w:t>
      </w:r>
      <w:r w:rsidR="00D0587D">
        <w:rPr>
          <w:lang w:val="en-GB"/>
        </w:rPr>
        <w:t xml:space="preserve">phased </w:t>
      </w:r>
      <w:r>
        <w:rPr>
          <w:lang w:val="en-GB"/>
        </w:rPr>
        <w:t xml:space="preserve">expansion of the network to 20 GW by 2020. The engineering studies and models are currently being developed for Package 3 (10-13 GW), Package 4 (13-16 GW) and Package 5 (16-20 GW).  </w:t>
      </w:r>
      <w:r w:rsidR="00CF05A0">
        <w:rPr>
          <w:lang w:val="en-GB"/>
        </w:rPr>
        <w:fldChar w:fldCharType="begin"/>
      </w:r>
      <w:r w:rsidR="00714A27">
        <w:rPr>
          <w:lang w:val="en-GB"/>
        </w:rPr>
        <w:instrText xml:space="preserve"> REF _Ref381093587 \w \h </w:instrText>
      </w:r>
      <w:r w:rsidR="00CF05A0">
        <w:rPr>
          <w:lang w:val="en-GB"/>
        </w:rPr>
      </w:r>
      <w:r w:rsidR="00CF05A0">
        <w:rPr>
          <w:lang w:val="en-GB"/>
        </w:rPr>
        <w:fldChar w:fldCharType="separate"/>
      </w:r>
      <w:r w:rsidR="0056026E">
        <w:rPr>
          <w:lang w:val="en-GB"/>
        </w:rPr>
        <w:t>Appendix D</w:t>
      </w:r>
      <w:r w:rsidR="00CF05A0">
        <w:rPr>
          <w:lang w:val="en-GB"/>
        </w:rPr>
        <w:fldChar w:fldCharType="end"/>
      </w:r>
      <w:r w:rsidR="00714A27">
        <w:rPr>
          <w:lang w:val="en-GB"/>
        </w:rPr>
        <w:t xml:space="preserve">, </w:t>
      </w:r>
      <w:r w:rsidR="00CF05A0">
        <w:rPr>
          <w:lang w:val="en-GB"/>
        </w:rPr>
        <w:fldChar w:fldCharType="begin"/>
      </w:r>
      <w:r w:rsidR="00714A27">
        <w:rPr>
          <w:lang w:val="en-GB"/>
        </w:rPr>
        <w:instrText xml:space="preserve"> REF _Ref381093597 \w \h </w:instrText>
      </w:r>
      <w:r w:rsidR="00CF05A0">
        <w:rPr>
          <w:lang w:val="en-GB"/>
        </w:rPr>
      </w:r>
      <w:r w:rsidR="00CF05A0">
        <w:rPr>
          <w:lang w:val="en-GB"/>
        </w:rPr>
        <w:fldChar w:fldCharType="separate"/>
      </w:r>
      <w:r w:rsidR="0056026E">
        <w:rPr>
          <w:lang w:val="en-GB"/>
        </w:rPr>
        <w:t>Appendix E</w:t>
      </w:r>
      <w:r w:rsidR="00CF05A0">
        <w:rPr>
          <w:lang w:val="en-GB"/>
        </w:rPr>
        <w:fldChar w:fldCharType="end"/>
      </w:r>
      <w:r w:rsidR="00714A27">
        <w:rPr>
          <w:lang w:val="en-GB"/>
        </w:rPr>
        <w:t xml:space="preserve"> and </w:t>
      </w:r>
      <w:r w:rsidR="00CF05A0">
        <w:rPr>
          <w:lang w:val="en-GB"/>
        </w:rPr>
        <w:fldChar w:fldCharType="begin"/>
      </w:r>
      <w:r w:rsidR="00714A27">
        <w:rPr>
          <w:lang w:val="en-GB"/>
        </w:rPr>
        <w:instrText xml:space="preserve"> REF _Ref381093604 \w \h </w:instrText>
      </w:r>
      <w:r w:rsidR="00CF05A0">
        <w:rPr>
          <w:lang w:val="en-GB"/>
        </w:rPr>
      </w:r>
      <w:r w:rsidR="00CF05A0">
        <w:rPr>
          <w:lang w:val="en-GB"/>
        </w:rPr>
        <w:fldChar w:fldCharType="separate"/>
      </w:r>
      <w:r w:rsidR="0056026E">
        <w:rPr>
          <w:lang w:val="en-GB"/>
        </w:rPr>
        <w:t>Appendix F</w:t>
      </w:r>
      <w:r w:rsidR="00CF05A0">
        <w:rPr>
          <w:lang w:val="en-GB"/>
        </w:rPr>
        <w:fldChar w:fldCharType="end"/>
      </w:r>
      <w:r w:rsidR="00B2235A" w:rsidRPr="00B2235A">
        <w:rPr>
          <w:lang w:val="en-GB"/>
        </w:rPr>
        <w:t xml:space="preserve"> </w:t>
      </w:r>
      <w:r w:rsidR="00B2235A">
        <w:rPr>
          <w:lang w:val="en-GB"/>
        </w:rPr>
        <w:t xml:space="preserve">show maps and </w:t>
      </w:r>
      <w:r w:rsidR="00714A27">
        <w:rPr>
          <w:lang w:val="en-GB"/>
        </w:rPr>
        <w:t>preliminary lists of projects</w:t>
      </w:r>
      <w:r w:rsidR="00B2235A">
        <w:rPr>
          <w:lang w:val="en-GB"/>
        </w:rPr>
        <w:t xml:space="preserve"> for these financing packages</w:t>
      </w:r>
      <w:r>
        <w:rPr>
          <w:lang w:val="en-GB"/>
        </w:rPr>
        <w:t>.</w:t>
      </w:r>
    </w:p>
    <w:p w:rsidR="00E43B51" w:rsidRDefault="00E43B51" w:rsidP="004859F4">
      <w:pPr>
        <w:jc w:val="both"/>
        <w:rPr>
          <w:rFonts w:cs="Arial"/>
          <w:lang w:val="en-GB"/>
        </w:rPr>
      </w:pPr>
    </w:p>
    <w:p w:rsidR="00033999" w:rsidRPr="005A7A1C" w:rsidRDefault="00714A27" w:rsidP="00714A27">
      <w:pPr>
        <w:pStyle w:val="Heading2"/>
      </w:pPr>
      <w:bookmarkStart w:id="14" w:name="_Toc381186749"/>
      <w:r>
        <w:lastRenderedPageBreak/>
        <w:t xml:space="preserve">Summary of </w:t>
      </w:r>
      <w:r w:rsidR="005A7A1C" w:rsidRPr="005A7A1C">
        <w:t xml:space="preserve">Transmission Project </w:t>
      </w:r>
      <w:r w:rsidR="00A94065">
        <w:t xml:space="preserve">Capital </w:t>
      </w:r>
      <w:r w:rsidR="005A7A1C" w:rsidRPr="005A7A1C">
        <w:t>Funding</w:t>
      </w:r>
      <w:r w:rsidR="00A94065">
        <w:t xml:space="preserve"> Requirements</w:t>
      </w:r>
      <w:bookmarkEnd w:id="14"/>
    </w:p>
    <w:p w:rsidR="00A94065" w:rsidRDefault="00CF05A0">
      <w:pPr>
        <w:spacing w:line="240" w:lineRule="auto"/>
        <w:rPr>
          <w:rFonts w:cs="Arial"/>
          <w:lang w:val="en-GB"/>
        </w:rPr>
      </w:pPr>
      <w:r>
        <w:rPr>
          <w:rFonts w:cs="Arial"/>
          <w:lang w:val="en-GB"/>
        </w:rPr>
        <w:fldChar w:fldCharType="begin"/>
      </w:r>
      <w:r w:rsidR="00EC740F">
        <w:rPr>
          <w:rFonts w:cs="Arial"/>
          <w:lang w:val="en-GB"/>
        </w:rPr>
        <w:instrText xml:space="preserve"> REF _Ref380571111 \h </w:instrText>
      </w:r>
      <w:r>
        <w:rPr>
          <w:rFonts w:cs="Arial"/>
          <w:lang w:val="en-GB"/>
        </w:rPr>
      </w:r>
      <w:r>
        <w:rPr>
          <w:rFonts w:cs="Arial"/>
          <w:lang w:val="en-GB"/>
        </w:rPr>
        <w:fldChar w:fldCharType="separate"/>
      </w:r>
      <w:r w:rsidR="0056026E">
        <w:t xml:space="preserve">Table </w:t>
      </w:r>
      <w:r w:rsidR="0056026E">
        <w:rPr>
          <w:noProof/>
        </w:rPr>
        <w:t>3</w:t>
      </w:r>
      <w:r w:rsidR="0056026E">
        <w:noBreakHyphen/>
      </w:r>
      <w:r w:rsidR="0056026E">
        <w:rPr>
          <w:noProof/>
        </w:rPr>
        <w:t>3</w:t>
      </w:r>
      <w:r>
        <w:rPr>
          <w:rFonts w:cs="Arial"/>
          <w:lang w:val="en-GB"/>
        </w:rPr>
        <w:fldChar w:fldCharType="end"/>
      </w:r>
      <w:r w:rsidR="00EC740F">
        <w:rPr>
          <w:rFonts w:cs="Arial"/>
          <w:lang w:val="en-GB"/>
        </w:rPr>
        <w:t xml:space="preserve"> shows t</w:t>
      </w:r>
      <w:r w:rsidR="005A7A1C">
        <w:rPr>
          <w:rFonts w:cs="Arial"/>
          <w:lang w:val="en-GB"/>
        </w:rPr>
        <w:t xml:space="preserve">he </w:t>
      </w:r>
      <w:r w:rsidR="00EC740F">
        <w:rPr>
          <w:rFonts w:cs="Arial"/>
          <w:lang w:val="en-GB"/>
        </w:rPr>
        <w:t xml:space="preserve">capital </w:t>
      </w:r>
      <w:r w:rsidR="005A7A1C">
        <w:rPr>
          <w:rFonts w:cs="Arial"/>
          <w:lang w:val="en-GB"/>
        </w:rPr>
        <w:t>funding requirements for refurbishment</w:t>
      </w:r>
      <w:r w:rsidR="000019A8">
        <w:rPr>
          <w:rFonts w:cs="Arial"/>
          <w:lang w:val="en-GB"/>
        </w:rPr>
        <w:t xml:space="preserve"> of existing lines and substations</w:t>
      </w:r>
      <w:r w:rsidR="005A7A1C">
        <w:rPr>
          <w:rFonts w:cs="Arial"/>
          <w:lang w:val="en-GB"/>
        </w:rPr>
        <w:t xml:space="preserve">, </w:t>
      </w:r>
      <w:r w:rsidR="00EC740F">
        <w:rPr>
          <w:rFonts w:cs="Arial"/>
          <w:lang w:val="en-GB"/>
        </w:rPr>
        <w:t>a TSP</w:t>
      </w:r>
      <w:r w:rsidR="003920CE">
        <w:rPr>
          <w:rFonts w:cs="Arial"/>
          <w:lang w:val="en-GB"/>
        </w:rPr>
        <w:t xml:space="preserve"> metering project, </w:t>
      </w:r>
      <w:r w:rsidR="005A7A1C">
        <w:rPr>
          <w:rFonts w:cs="Arial"/>
          <w:lang w:val="en-GB"/>
        </w:rPr>
        <w:t xml:space="preserve">the completion of </w:t>
      </w:r>
      <w:r w:rsidR="000019A8">
        <w:rPr>
          <w:rFonts w:cs="Arial"/>
          <w:lang w:val="en-GB"/>
        </w:rPr>
        <w:t>new</w:t>
      </w:r>
      <w:r w:rsidR="005A7A1C">
        <w:rPr>
          <w:rFonts w:cs="Arial"/>
          <w:lang w:val="en-GB"/>
        </w:rPr>
        <w:t xml:space="preserve"> projects </w:t>
      </w:r>
      <w:r w:rsidR="000019A8">
        <w:rPr>
          <w:rFonts w:cs="Arial"/>
          <w:lang w:val="en-GB"/>
        </w:rPr>
        <w:t xml:space="preserve">already underway </w:t>
      </w:r>
      <w:r w:rsidR="005A7A1C">
        <w:rPr>
          <w:rFonts w:cs="Arial"/>
          <w:lang w:val="en-GB"/>
        </w:rPr>
        <w:t>(</w:t>
      </w:r>
      <w:r w:rsidR="000019A8">
        <w:rPr>
          <w:rFonts w:cs="Arial"/>
          <w:lang w:val="en-GB"/>
        </w:rPr>
        <w:t xml:space="preserve">Financing </w:t>
      </w:r>
      <w:r w:rsidR="005A7A1C">
        <w:rPr>
          <w:rFonts w:cs="Arial"/>
          <w:lang w:val="en-GB"/>
        </w:rPr>
        <w:t xml:space="preserve">Package 1) and the </w:t>
      </w:r>
      <w:r w:rsidR="000019A8">
        <w:rPr>
          <w:rFonts w:cs="Arial"/>
          <w:lang w:val="en-GB"/>
        </w:rPr>
        <w:t>initiation and completion</w:t>
      </w:r>
      <w:r w:rsidR="00EC740F">
        <w:rPr>
          <w:rFonts w:cs="Arial"/>
          <w:lang w:val="en-GB"/>
        </w:rPr>
        <w:t xml:space="preserve"> of </w:t>
      </w:r>
      <w:r w:rsidR="000019A8">
        <w:rPr>
          <w:rFonts w:cs="Arial"/>
          <w:lang w:val="en-GB"/>
        </w:rPr>
        <w:t xml:space="preserve">new </w:t>
      </w:r>
      <w:r w:rsidR="005A7A1C">
        <w:rPr>
          <w:rFonts w:cs="Arial"/>
          <w:lang w:val="en-GB"/>
        </w:rPr>
        <w:t xml:space="preserve">projects </w:t>
      </w:r>
      <w:r w:rsidR="000019A8">
        <w:rPr>
          <w:rFonts w:cs="Arial"/>
          <w:lang w:val="en-GB"/>
        </w:rPr>
        <w:t xml:space="preserve">to expand the system </w:t>
      </w:r>
      <w:r w:rsidR="00EC740F">
        <w:rPr>
          <w:rFonts w:cs="Arial"/>
          <w:lang w:val="en-GB"/>
        </w:rPr>
        <w:t>to 10 GW (</w:t>
      </w:r>
      <w:r w:rsidR="000019A8">
        <w:rPr>
          <w:rFonts w:cs="Arial"/>
          <w:lang w:val="en-GB"/>
        </w:rPr>
        <w:t xml:space="preserve">Financing </w:t>
      </w:r>
      <w:r w:rsidR="00EC740F">
        <w:rPr>
          <w:rFonts w:cs="Arial"/>
          <w:lang w:val="en-GB"/>
        </w:rPr>
        <w:t>Package 2).</w:t>
      </w:r>
      <w:r w:rsidR="00A94065">
        <w:rPr>
          <w:rFonts w:cs="Arial"/>
          <w:lang w:val="en-GB"/>
        </w:rPr>
        <w:t xml:space="preserve">  </w:t>
      </w:r>
      <w:r w:rsidR="00402A44">
        <w:rPr>
          <w:rFonts w:cs="Arial"/>
          <w:lang w:val="en-GB"/>
        </w:rPr>
        <w:t>The cost estimate for capital refurbishment was developed by NIAF</w:t>
      </w:r>
      <w:r w:rsidR="00714A27">
        <w:rPr>
          <w:rFonts w:cs="Arial"/>
          <w:lang w:val="en-GB"/>
        </w:rPr>
        <w:t xml:space="preserve"> (see </w:t>
      </w:r>
      <w:r>
        <w:rPr>
          <w:rFonts w:cs="Arial"/>
          <w:lang w:val="en-GB"/>
        </w:rPr>
        <w:fldChar w:fldCharType="begin"/>
      </w:r>
      <w:r w:rsidR="00714A27">
        <w:rPr>
          <w:rFonts w:cs="Arial"/>
          <w:lang w:val="en-GB"/>
        </w:rPr>
        <w:instrText xml:space="preserve"> REF _Ref381092985 \w \h </w:instrText>
      </w:r>
      <w:r>
        <w:rPr>
          <w:rFonts w:cs="Arial"/>
          <w:lang w:val="en-GB"/>
        </w:rPr>
      </w:r>
      <w:r>
        <w:rPr>
          <w:rFonts w:cs="Arial"/>
          <w:lang w:val="en-GB"/>
        </w:rPr>
        <w:fldChar w:fldCharType="separate"/>
      </w:r>
      <w:r w:rsidR="0056026E">
        <w:rPr>
          <w:rFonts w:cs="Arial"/>
          <w:lang w:val="en-GB"/>
        </w:rPr>
        <w:t>Appendix G</w:t>
      </w:r>
      <w:r>
        <w:rPr>
          <w:rFonts w:cs="Arial"/>
          <w:lang w:val="en-GB"/>
        </w:rPr>
        <w:fldChar w:fldCharType="end"/>
      </w:r>
      <w:r w:rsidR="00714A27">
        <w:rPr>
          <w:rFonts w:cs="Arial"/>
          <w:lang w:val="en-GB"/>
        </w:rPr>
        <w:t xml:space="preserve"> for assumptions)</w:t>
      </w:r>
      <w:r w:rsidR="00402A44">
        <w:rPr>
          <w:rFonts w:cs="Arial"/>
          <w:lang w:val="en-GB"/>
        </w:rPr>
        <w:t>.  The cost estimate for Package 1 is based on signed contract amounts.  The cost estimate for Package 2 was developed by JICA</w:t>
      </w:r>
      <w:r w:rsidR="00714A27">
        <w:rPr>
          <w:rFonts w:cs="Arial"/>
          <w:lang w:val="en-GB"/>
        </w:rPr>
        <w:t>, as explained earlier</w:t>
      </w:r>
      <w:r w:rsidR="00402A44">
        <w:rPr>
          <w:rFonts w:cs="Arial"/>
          <w:lang w:val="en-GB"/>
        </w:rPr>
        <w:t>.</w:t>
      </w:r>
    </w:p>
    <w:p w:rsidR="00A94065" w:rsidRDefault="00A94065">
      <w:pPr>
        <w:spacing w:line="240" w:lineRule="auto"/>
        <w:rPr>
          <w:rFonts w:cs="Arial"/>
          <w:lang w:val="en-GB"/>
        </w:rPr>
      </w:pPr>
    </w:p>
    <w:p w:rsidR="003920CE" w:rsidRDefault="003920CE">
      <w:pPr>
        <w:spacing w:line="240" w:lineRule="auto"/>
        <w:rPr>
          <w:rFonts w:cs="Arial"/>
          <w:lang w:val="en-GB"/>
        </w:rPr>
      </w:pPr>
    </w:p>
    <w:p w:rsidR="00EC740F" w:rsidRDefault="00EC740F" w:rsidP="00EC740F">
      <w:pPr>
        <w:pStyle w:val="Caption"/>
      </w:pPr>
      <w:bookmarkStart w:id="15" w:name="_Ref380571111"/>
      <w:r>
        <w:t xml:space="preserve">Table </w:t>
      </w:r>
      <w:r w:rsidR="00CF05A0">
        <w:fldChar w:fldCharType="begin"/>
      </w:r>
      <w:r w:rsidR="006D7424">
        <w:instrText xml:space="preserve"> STYLEREF 1 \s </w:instrText>
      </w:r>
      <w:r w:rsidR="00CF05A0">
        <w:fldChar w:fldCharType="separate"/>
      </w:r>
      <w:r w:rsidR="0056026E">
        <w:rPr>
          <w:noProof/>
        </w:rPr>
        <w:t>3</w:t>
      </w:r>
      <w:r w:rsidR="00CF05A0">
        <w:rPr>
          <w:noProof/>
        </w:rPr>
        <w:fldChar w:fldCharType="end"/>
      </w:r>
      <w:r w:rsidR="00B2235A">
        <w:noBreakHyphen/>
      </w:r>
      <w:r w:rsidR="00CF05A0">
        <w:fldChar w:fldCharType="begin"/>
      </w:r>
      <w:r w:rsidR="006D7424">
        <w:instrText xml:space="preserve"> SEQ Table \* ARABIC \s 1 </w:instrText>
      </w:r>
      <w:r w:rsidR="00CF05A0">
        <w:fldChar w:fldCharType="separate"/>
      </w:r>
      <w:r w:rsidR="0056026E">
        <w:rPr>
          <w:noProof/>
        </w:rPr>
        <w:t>3</w:t>
      </w:r>
      <w:r w:rsidR="00CF05A0">
        <w:rPr>
          <w:noProof/>
        </w:rPr>
        <w:fldChar w:fldCharType="end"/>
      </w:r>
      <w:bookmarkEnd w:id="15"/>
      <w:r>
        <w:t>: Capital Funding Requirements for Refurbishment and Expansion to 10 GW</w:t>
      </w:r>
    </w:p>
    <w:tbl>
      <w:tblPr>
        <w:tblW w:w="8676" w:type="dxa"/>
        <w:tblInd w:w="93" w:type="dxa"/>
        <w:tblLook w:val="04A0"/>
      </w:tblPr>
      <w:tblGrid>
        <w:gridCol w:w="4528"/>
        <w:gridCol w:w="1311"/>
        <w:gridCol w:w="1502"/>
        <w:gridCol w:w="1335"/>
      </w:tblGrid>
      <w:tr w:rsidR="005A7A1C" w:rsidRPr="005A7A1C" w:rsidTr="00E004BC">
        <w:trPr>
          <w:trHeight w:val="214"/>
        </w:trPr>
        <w:tc>
          <w:tcPr>
            <w:tcW w:w="4528" w:type="dxa"/>
            <w:tcBorders>
              <w:top w:val="single" w:sz="8" w:space="0" w:color="auto"/>
              <w:left w:val="single" w:sz="8" w:space="0" w:color="auto"/>
              <w:bottom w:val="single" w:sz="4" w:space="0" w:color="auto"/>
              <w:right w:val="single" w:sz="4" w:space="0" w:color="auto"/>
            </w:tcBorders>
            <w:shd w:val="clear" w:color="000000" w:fill="EEECE1"/>
            <w:noWrap/>
            <w:vAlign w:val="bottom"/>
            <w:hideMark/>
          </w:tcPr>
          <w:p w:rsidR="005A7A1C" w:rsidRPr="005A7A1C" w:rsidRDefault="005A7A1C" w:rsidP="00A94065">
            <w:pPr>
              <w:spacing w:before="40" w:after="40" w:line="240" w:lineRule="auto"/>
              <w:jc w:val="both"/>
              <w:rPr>
                <w:rFonts w:ascii="Calibri" w:eastAsia="Times New Roman" w:hAnsi="Calibri"/>
                <w:b/>
                <w:bCs/>
                <w:color w:val="000000"/>
                <w:sz w:val="22"/>
                <w:szCs w:val="22"/>
                <w:lang w:eastAsia="en-CA"/>
              </w:rPr>
            </w:pPr>
            <w:r w:rsidRPr="005A7A1C">
              <w:rPr>
                <w:rFonts w:ascii="Calibri" w:eastAsia="Times New Roman" w:hAnsi="Calibri"/>
                <w:b/>
                <w:bCs/>
                <w:color w:val="000000"/>
                <w:sz w:val="22"/>
                <w:szCs w:val="22"/>
                <w:lang w:eastAsia="en-CA"/>
              </w:rPr>
              <w:t>Projects</w:t>
            </w:r>
          </w:p>
        </w:tc>
        <w:tc>
          <w:tcPr>
            <w:tcW w:w="1311" w:type="dxa"/>
            <w:tcBorders>
              <w:top w:val="single" w:sz="8" w:space="0" w:color="auto"/>
              <w:left w:val="nil"/>
              <w:bottom w:val="single" w:sz="4" w:space="0" w:color="auto"/>
              <w:right w:val="single" w:sz="4" w:space="0" w:color="auto"/>
            </w:tcBorders>
            <w:shd w:val="clear" w:color="000000" w:fill="EEECE1"/>
            <w:noWrap/>
            <w:vAlign w:val="bottom"/>
            <w:hideMark/>
          </w:tcPr>
          <w:p w:rsidR="005A7A1C" w:rsidRPr="005A7A1C" w:rsidRDefault="005A7A1C" w:rsidP="00A94065">
            <w:pPr>
              <w:spacing w:before="40" w:after="40" w:line="240" w:lineRule="auto"/>
              <w:jc w:val="center"/>
              <w:rPr>
                <w:rFonts w:ascii="Calibri" w:eastAsia="Times New Roman" w:hAnsi="Calibri"/>
                <w:b/>
                <w:bCs/>
                <w:color w:val="000000"/>
                <w:sz w:val="22"/>
                <w:szCs w:val="22"/>
                <w:u w:val="single"/>
                <w:lang w:eastAsia="en-CA"/>
              </w:rPr>
            </w:pPr>
            <w:r w:rsidRPr="005A7A1C">
              <w:rPr>
                <w:rFonts w:ascii="Calibri" w:eastAsia="Times New Roman" w:hAnsi="Calibri"/>
                <w:b/>
                <w:bCs/>
                <w:color w:val="000000"/>
                <w:sz w:val="22"/>
                <w:szCs w:val="22"/>
                <w:u w:val="single"/>
                <w:lang w:eastAsia="en-CA"/>
              </w:rPr>
              <w:t>$Millions</w:t>
            </w:r>
          </w:p>
        </w:tc>
        <w:tc>
          <w:tcPr>
            <w:tcW w:w="1502" w:type="dxa"/>
            <w:tcBorders>
              <w:top w:val="single" w:sz="8" w:space="0" w:color="auto"/>
              <w:left w:val="nil"/>
              <w:bottom w:val="single" w:sz="4" w:space="0" w:color="auto"/>
              <w:right w:val="single" w:sz="4" w:space="0" w:color="auto"/>
            </w:tcBorders>
            <w:shd w:val="clear" w:color="000000" w:fill="EEECE1"/>
            <w:noWrap/>
            <w:vAlign w:val="bottom"/>
            <w:hideMark/>
          </w:tcPr>
          <w:p w:rsidR="005A7A1C" w:rsidRPr="005A7A1C" w:rsidRDefault="005A7A1C" w:rsidP="00A94065">
            <w:pPr>
              <w:spacing w:before="40" w:after="40" w:line="240" w:lineRule="auto"/>
              <w:jc w:val="center"/>
              <w:rPr>
                <w:rFonts w:ascii="Calibri" w:eastAsia="Times New Roman" w:hAnsi="Calibri"/>
                <w:b/>
                <w:bCs/>
                <w:color w:val="000000"/>
                <w:sz w:val="22"/>
                <w:szCs w:val="22"/>
                <w:u w:val="single"/>
                <w:lang w:eastAsia="en-CA"/>
              </w:rPr>
            </w:pPr>
            <w:r w:rsidRPr="005A7A1C">
              <w:rPr>
                <w:rFonts w:ascii="Calibri" w:eastAsia="Times New Roman" w:hAnsi="Calibri"/>
                <w:b/>
                <w:bCs/>
                <w:color w:val="000000"/>
                <w:sz w:val="22"/>
                <w:szCs w:val="22"/>
                <w:u w:val="single"/>
                <w:lang w:eastAsia="en-CA"/>
              </w:rPr>
              <w:t>GW Target</w:t>
            </w:r>
          </w:p>
        </w:tc>
        <w:tc>
          <w:tcPr>
            <w:tcW w:w="1335" w:type="dxa"/>
            <w:tcBorders>
              <w:top w:val="single" w:sz="8" w:space="0" w:color="auto"/>
              <w:left w:val="nil"/>
              <w:bottom w:val="single" w:sz="4" w:space="0" w:color="auto"/>
              <w:right w:val="single" w:sz="8" w:space="0" w:color="auto"/>
            </w:tcBorders>
            <w:shd w:val="clear" w:color="000000" w:fill="EEECE1"/>
            <w:noWrap/>
            <w:vAlign w:val="bottom"/>
            <w:hideMark/>
          </w:tcPr>
          <w:p w:rsidR="005A7A1C" w:rsidRPr="005A7A1C" w:rsidRDefault="005A7A1C" w:rsidP="00A94065">
            <w:pPr>
              <w:spacing w:before="40" w:after="40" w:line="240" w:lineRule="auto"/>
              <w:jc w:val="center"/>
              <w:rPr>
                <w:rFonts w:ascii="Calibri" w:eastAsia="Times New Roman" w:hAnsi="Calibri"/>
                <w:b/>
                <w:bCs/>
                <w:color w:val="000000"/>
                <w:sz w:val="22"/>
                <w:szCs w:val="22"/>
                <w:u w:val="single"/>
                <w:lang w:eastAsia="en-CA"/>
              </w:rPr>
            </w:pPr>
            <w:r w:rsidRPr="005A7A1C">
              <w:rPr>
                <w:rFonts w:ascii="Calibri" w:eastAsia="Times New Roman" w:hAnsi="Calibri"/>
                <w:b/>
                <w:bCs/>
                <w:color w:val="000000"/>
                <w:sz w:val="22"/>
                <w:szCs w:val="22"/>
                <w:u w:val="single"/>
                <w:lang w:eastAsia="en-CA"/>
              </w:rPr>
              <w:t>In Service</w:t>
            </w:r>
          </w:p>
        </w:tc>
      </w:tr>
      <w:tr w:rsidR="005A7A1C" w:rsidRPr="005A7A1C" w:rsidTr="00E004BC">
        <w:trPr>
          <w:trHeight w:val="52"/>
        </w:trPr>
        <w:tc>
          <w:tcPr>
            <w:tcW w:w="4528" w:type="dxa"/>
            <w:tcBorders>
              <w:top w:val="nil"/>
              <w:left w:val="single" w:sz="8" w:space="0" w:color="auto"/>
              <w:bottom w:val="single" w:sz="4" w:space="0" w:color="auto"/>
              <w:right w:val="single" w:sz="4" w:space="0" w:color="auto"/>
            </w:tcBorders>
            <w:shd w:val="clear" w:color="auto" w:fill="auto"/>
            <w:noWrap/>
            <w:vAlign w:val="bottom"/>
            <w:hideMark/>
          </w:tcPr>
          <w:p w:rsidR="005A7A1C" w:rsidRPr="005A7A1C" w:rsidRDefault="005A7A1C" w:rsidP="00A94065">
            <w:pPr>
              <w:spacing w:before="40" w:after="40" w:line="240" w:lineRule="auto"/>
              <w:rPr>
                <w:rFonts w:ascii="Calibri" w:eastAsia="Times New Roman" w:hAnsi="Calibri"/>
                <w:color w:val="000000"/>
                <w:sz w:val="22"/>
                <w:szCs w:val="22"/>
                <w:lang w:eastAsia="en-CA"/>
              </w:rPr>
            </w:pPr>
            <w:r w:rsidRPr="005A7A1C">
              <w:rPr>
                <w:rFonts w:ascii="Calibri" w:eastAsia="Times New Roman" w:hAnsi="Calibri"/>
                <w:color w:val="000000"/>
                <w:sz w:val="22"/>
                <w:szCs w:val="22"/>
                <w:lang w:eastAsia="en-CA"/>
              </w:rPr>
              <w:t>Capital Refurbishment</w:t>
            </w:r>
          </w:p>
        </w:tc>
        <w:tc>
          <w:tcPr>
            <w:tcW w:w="1311" w:type="dxa"/>
            <w:tcBorders>
              <w:top w:val="nil"/>
              <w:left w:val="nil"/>
              <w:bottom w:val="single" w:sz="4" w:space="0" w:color="auto"/>
              <w:right w:val="single" w:sz="4" w:space="0" w:color="auto"/>
            </w:tcBorders>
            <w:shd w:val="clear" w:color="auto" w:fill="auto"/>
            <w:noWrap/>
            <w:vAlign w:val="bottom"/>
            <w:hideMark/>
          </w:tcPr>
          <w:p w:rsidR="005A7A1C" w:rsidRPr="005A7A1C" w:rsidRDefault="005A7A1C" w:rsidP="00A94065">
            <w:pPr>
              <w:spacing w:before="40" w:after="40" w:line="240" w:lineRule="auto"/>
              <w:jc w:val="right"/>
              <w:rPr>
                <w:rFonts w:ascii="Calibri" w:eastAsia="Times New Roman" w:hAnsi="Calibri"/>
                <w:color w:val="000000"/>
                <w:sz w:val="22"/>
                <w:szCs w:val="22"/>
                <w:lang w:eastAsia="en-CA"/>
              </w:rPr>
            </w:pPr>
            <w:r w:rsidRPr="005A7A1C">
              <w:rPr>
                <w:rFonts w:ascii="Calibri" w:eastAsia="Times New Roman" w:hAnsi="Calibri"/>
                <w:color w:val="000000"/>
                <w:sz w:val="22"/>
                <w:szCs w:val="22"/>
                <w:lang w:eastAsia="en-CA"/>
              </w:rPr>
              <w:t>$947</w:t>
            </w:r>
          </w:p>
        </w:tc>
        <w:tc>
          <w:tcPr>
            <w:tcW w:w="1502" w:type="dxa"/>
            <w:tcBorders>
              <w:top w:val="nil"/>
              <w:left w:val="nil"/>
              <w:bottom w:val="single" w:sz="4" w:space="0" w:color="auto"/>
              <w:right w:val="single" w:sz="4" w:space="0" w:color="auto"/>
            </w:tcBorders>
            <w:shd w:val="clear" w:color="auto" w:fill="auto"/>
            <w:noWrap/>
            <w:vAlign w:val="bottom"/>
            <w:hideMark/>
          </w:tcPr>
          <w:p w:rsidR="005A7A1C" w:rsidRPr="005A7A1C" w:rsidRDefault="005A7A1C" w:rsidP="00A94065">
            <w:pPr>
              <w:spacing w:before="40" w:after="40" w:line="240" w:lineRule="auto"/>
              <w:jc w:val="right"/>
              <w:rPr>
                <w:rFonts w:ascii="Calibri" w:eastAsia="Times New Roman" w:hAnsi="Calibri"/>
                <w:color w:val="000000"/>
                <w:sz w:val="22"/>
                <w:szCs w:val="22"/>
                <w:lang w:eastAsia="en-CA"/>
              </w:rPr>
            </w:pPr>
            <w:r w:rsidRPr="005A7A1C">
              <w:rPr>
                <w:rFonts w:ascii="Calibri" w:eastAsia="Times New Roman" w:hAnsi="Calibri"/>
                <w:color w:val="000000"/>
                <w:sz w:val="22"/>
                <w:szCs w:val="22"/>
                <w:lang w:eastAsia="en-CA"/>
              </w:rPr>
              <w:t xml:space="preserve">             </w:t>
            </w:r>
            <w:r w:rsidR="00A94065">
              <w:rPr>
                <w:rFonts w:ascii="Calibri" w:eastAsia="Times New Roman" w:hAnsi="Calibri"/>
                <w:color w:val="000000"/>
                <w:sz w:val="22"/>
                <w:szCs w:val="22"/>
                <w:lang w:eastAsia="en-CA"/>
              </w:rPr>
              <w:t>7,000</w:t>
            </w:r>
            <w:r w:rsidRPr="005A7A1C">
              <w:rPr>
                <w:rFonts w:ascii="Calibri" w:eastAsia="Times New Roman" w:hAnsi="Calibri"/>
                <w:color w:val="000000"/>
                <w:sz w:val="22"/>
                <w:szCs w:val="22"/>
                <w:lang w:eastAsia="en-CA"/>
              </w:rPr>
              <w:t xml:space="preserve"> </w:t>
            </w:r>
          </w:p>
        </w:tc>
        <w:tc>
          <w:tcPr>
            <w:tcW w:w="1335" w:type="dxa"/>
            <w:tcBorders>
              <w:top w:val="nil"/>
              <w:left w:val="nil"/>
              <w:bottom w:val="single" w:sz="4" w:space="0" w:color="auto"/>
              <w:right w:val="single" w:sz="8" w:space="0" w:color="auto"/>
            </w:tcBorders>
            <w:shd w:val="clear" w:color="auto" w:fill="auto"/>
            <w:noWrap/>
            <w:vAlign w:val="bottom"/>
            <w:hideMark/>
          </w:tcPr>
          <w:p w:rsidR="005A7A1C" w:rsidRPr="005A7A1C" w:rsidRDefault="005A7A1C" w:rsidP="00A94065">
            <w:pPr>
              <w:spacing w:before="40" w:after="40" w:line="240" w:lineRule="auto"/>
              <w:jc w:val="right"/>
              <w:rPr>
                <w:rFonts w:ascii="Calibri" w:eastAsia="Times New Roman" w:hAnsi="Calibri"/>
                <w:color w:val="000000"/>
                <w:sz w:val="22"/>
                <w:szCs w:val="22"/>
                <w:lang w:eastAsia="en-CA"/>
              </w:rPr>
            </w:pPr>
            <w:r w:rsidRPr="005A7A1C">
              <w:rPr>
                <w:rFonts w:ascii="Calibri" w:eastAsia="Times New Roman" w:hAnsi="Calibri"/>
                <w:color w:val="000000"/>
                <w:sz w:val="22"/>
                <w:szCs w:val="22"/>
                <w:lang w:eastAsia="en-CA"/>
              </w:rPr>
              <w:t>2015</w:t>
            </w:r>
          </w:p>
        </w:tc>
      </w:tr>
      <w:tr w:rsidR="005A7A1C" w:rsidRPr="005A7A1C" w:rsidTr="00E004BC">
        <w:trPr>
          <w:trHeight w:val="224"/>
        </w:trPr>
        <w:tc>
          <w:tcPr>
            <w:tcW w:w="4528" w:type="dxa"/>
            <w:tcBorders>
              <w:top w:val="nil"/>
              <w:left w:val="single" w:sz="8" w:space="0" w:color="auto"/>
              <w:bottom w:val="single" w:sz="4" w:space="0" w:color="auto"/>
              <w:right w:val="single" w:sz="4" w:space="0" w:color="auto"/>
            </w:tcBorders>
            <w:shd w:val="clear" w:color="auto" w:fill="auto"/>
            <w:noWrap/>
            <w:vAlign w:val="bottom"/>
            <w:hideMark/>
          </w:tcPr>
          <w:p w:rsidR="005A7A1C" w:rsidRPr="005A7A1C" w:rsidRDefault="005A7A1C" w:rsidP="00A94065">
            <w:pPr>
              <w:spacing w:before="40" w:after="40" w:line="240" w:lineRule="auto"/>
              <w:rPr>
                <w:rFonts w:ascii="Calibri" w:eastAsia="Times New Roman" w:hAnsi="Calibri"/>
                <w:color w:val="000000"/>
                <w:sz w:val="22"/>
                <w:szCs w:val="22"/>
                <w:lang w:eastAsia="en-CA"/>
              </w:rPr>
            </w:pPr>
            <w:r w:rsidRPr="005A7A1C">
              <w:rPr>
                <w:rFonts w:ascii="Calibri" w:eastAsia="Times New Roman" w:hAnsi="Calibri"/>
                <w:color w:val="000000"/>
                <w:sz w:val="22"/>
                <w:szCs w:val="22"/>
                <w:lang w:eastAsia="en-CA"/>
              </w:rPr>
              <w:t>TSP Feeder Verification Meters</w:t>
            </w:r>
          </w:p>
        </w:tc>
        <w:tc>
          <w:tcPr>
            <w:tcW w:w="1311" w:type="dxa"/>
            <w:tcBorders>
              <w:top w:val="nil"/>
              <w:left w:val="nil"/>
              <w:bottom w:val="single" w:sz="4" w:space="0" w:color="auto"/>
              <w:right w:val="single" w:sz="4" w:space="0" w:color="auto"/>
            </w:tcBorders>
            <w:shd w:val="clear" w:color="auto" w:fill="auto"/>
            <w:noWrap/>
            <w:vAlign w:val="bottom"/>
            <w:hideMark/>
          </w:tcPr>
          <w:p w:rsidR="005A7A1C" w:rsidRPr="005A7A1C" w:rsidRDefault="005A7A1C" w:rsidP="00A94065">
            <w:pPr>
              <w:spacing w:before="40" w:after="40" w:line="240" w:lineRule="auto"/>
              <w:jc w:val="right"/>
              <w:rPr>
                <w:rFonts w:ascii="Calibri" w:eastAsia="Times New Roman" w:hAnsi="Calibri"/>
                <w:color w:val="000000"/>
                <w:sz w:val="22"/>
                <w:szCs w:val="22"/>
                <w:lang w:eastAsia="en-CA"/>
              </w:rPr>
            </w:pPr>
            <w:r w:rsidRPr="005A7A1C">
              <w:rPr>
                <w:rFonts w:ascii="Calibri" w:eastAsia="Times New Roman" w:hAnsi="Calibri"/>
                <w:color w:val="000000"/>
                <w:sz w:val="22"/>
                <w:szCs w:val="22"/>
                <w:lang w:eastAsia="en-CA"/>
              </w:rPr>
              <w:t>$1</w:t>
            </w:r>
          </w:p>
        </w:tc>
        <w:tc>
          <w:tcPr>
            <w:tcW w:w="1502" w:type="dxa"/>
            <w:tcBorders>
              <w:top w:val="nil"/>
              <w:left w:val="nil"/>
              <w:bottom w:val="single" w:sz="4" w:space="0" w:color="auto"/>
              <w:right w:val="single" w:sz="4" w:space="0" w:color="auto"/>
            </w:tcBorders>
            <w:shd w:val="clear" w:color="auto" w:fill="auto"/>
            <w:noWrap/>
            <w:vAlign w:val="bottom"/>
            <w:hideMark/>
          </w:tcPr>
          <w:p w:rsidR="005A7A1C" w:rsidRPr="005A7A1C" w:rsidRDefault="005A7A1C" w:rsidP="00A94065">
            <w:pPr>
              <w:spacing w:before="40" w:after="40" w:line="240" w:lineRule="auto"/>
              <w:jc w:val="right"/>
              <w:rPr>
                <w:rFonts w:ascii="Calibri" w:eastAsia="Times New Roman" w:hAnsi="Calibri"/>
                <w:color w:val="000000"/>
                <w:sz w:val="22"/>
                <w:szCs w:val="22"/>
                <w:lang w:eastAsia="en-CA"/>
              </w:rPr>
            </w:pPr>
            <w:r w:rsidRPr="005A7A1C">
              <w:rPr>
                <w:rFonts w:ascii="Calibri" w:eastAsia="Times New Roman" w:hAnsi="Calibri"/>
                <w:color w:val="000000"/>
                <w:sz w:val="22"/>
                <w:szCs w:val="22"/>
                <w:lang w:eastAsia="en-CA"/>
              </w:rPr>
              <w:t> </w:t>
            </w:r>
          </w:p>
        </w:tc>
        <w:tc>
          <w:tcPr>
            <w:tcW w:w="1335" w:type="dxa"/>
            <w:tcBorders>
              <w:top w:val="nil"/>
              <w:left w:val="nil"/>
              <w:bottom w:val="single" w:sz="4" w:space="0" w:color="auto"/>
              <w:right w:val="single" w:sz="8" w:space="0" w:color="auto"/>
            </w:tcBorders>
            <w:shd w:val="clear" w:color="auto" w:fill="auto"/>
            <w:noWrap/>
            <w:vAlign w:val="bottom"/>
            <w:hideMark/>
          </w:tcPr>
          <w:p w:rsidR="005A7A1C" w:rsidRPr="005A7A1C" w:rsidRDefault="005A7A1C" w:rsidP="00A94065">
            <w:pPr>
              <w:spacing w:before="40" w:after="40" w:line="240" w:lineRule="auto"/>
              <w:jc w:val="right"/>
              <w:rPr>
                <w:rFonts w:ascii="Calibri" w:eastAsia="Times New Roman" w:hAnsi="Calibri"/>
                <w:color w:val="000000"/>
                <w:sz w:val="22"/>
                <w:szCs w:val="22"/>
                <w:lang w:eastAsia="en-CA"/>
              </w:rPr>
            </w:pPr>
            <w:r w:rsidRPr="005A7A1C">
              <w:rPr>
                <w:rFonts w:ascii="Calibri" w:eastAsia="Times New Roman" w:hAnsi="Calibri"/>
                <w:color w:val="000000"/>
                <w:sz w:val="22"/>
                <w:szCs w:val="22"/>
                <w:lang w:eastAsia="en-CA"/>
              </w:rPr>
              <w:t>2015</w:t>
            </w:r>
          </w:p>
        </w:tc>
      </w:tr>
      <w:tr w:rsidR="005A7A1C" w:rsidRPr="005A7A1C" w:rsidTr="00E004BC">
        <w:trPr>
          <w:trHeight w:val="80"/>
        </w:trPr>
        <w:tc>
          <w:tcPr>
            <w:tcW w:w="4528" w:type="dxa"/>
            <w:tcBorders>
              <w:top w:val="nil"/>
              <w:left w:val="single" w:sz="8" w:space="0" w:color="auto"/>
              <w:bottom w:val="single" w:sz="4" w:space="0" w:color="auto"/>
              <w:right w:val="single" w:sz="4" w:space="0" w:color="auto"/>
            </w:tcBorders>
            <w:shd w:val="clear" w:color="auto" w:fill="auto"/>
            <w:noWrap/>
            <w:vAlign w:val="bottom"/>
            <w:hideMark/>
          </w:tcPr>
          <w:p w:rsidR="005A7A1C" w:rsidRPr="005A7A1C" w:rsidRDefault="005A7A1C" w:rsidP="00A94065">
            <w:pPr>
              <w:spacing w:before="40" w:after="40" w:line="240" w:lineRule="auto"/>
              <w:rPr>
                <w:rFonts w:ascii="Calibri" w:eastAsia="Times New Roman" w:hAnsi="Calibri"/>
                <w:color w:val="000000"/>
                <w:sz w:val="22"/>
                <w:szCs w:val="22"/>
                <w:lang w:eastAsia="en-CA"/>
              </w:rPr>
            </w:pPr>
            <w:r w:rsidRPr="005A7A1C">
              <w:rPr>
                <w:rFonts w:ascii="Calibri" w:eastAsia="Times New Roman" w:hAnsi="Calibri"/>
                <w:color w:val="000000"/>
                <w:sz w:val="22"/>
                <w:szCs w:val="22"/>
                <w:lang w:eastAsia="en-CA"/>
              </w:rPr>
              <w:t>Package 1 - Projects under Construction</w:t>
            </w:r>
          </w:p>
        </w:tc>
        <w:tc>
          <w:tcPr>
            <w:tcW w:w="1311" w:type="dxa"/>
            <w:tcBorders>
              <w:top w:val="nil"/>
              <w:left w:val="nil"/>
              <w:bottom w:val="single" w:sz="4" w:space="0" w:color="auto"/>
              <w:right w:val="single" w:sz="4" w:space="0" w:color="auto"/>
            </w:tcBorders>
            <w:shd w:val="clear" w:color="auto" w:fill="auto"/>
            <w:noWrap/>
            <w:vAlign w:val="bottom"/>
            <w:hideMark/>
          </w:tcPr>
          <w:p w:rsidR="005A7A1C" w:rsidRPr="005A7A1C" w:rsidRDefault="005A7A1C" w:rsidP="00A94065">
            <w:pPr>
              <w:spacing w:before="40" w:after="40" w:line="240" w:lineRule="auto"/>
              <w:jc w:val="right"/>
              <w:rPr>
                <w:rFonts w:ascii="Calibri" w:eastAsia="Times New Roman" w:hAnsi="Calibri"/>
                <w:color w:val="000000"/>
                <w:sz w:val="22"/>
                <w:szCs w:val="22"/>
                <w:lang w:eastAsia="en-CA"/>
              </w:rPr>
            </w:pPr>
            <w:r w:rsidRPr="005A7A1C">
              <w:rPr>
                <w:rFonts w:ascii="Calibri" w:eastAsia="Times New Roman" w:hAnsi="Calibri"/>
                <w:color w:val="000000"/>
                <w:sz w:val="22"/>
                <w:szCs w:val="22"/>
                <w:lang w:eastAsia="en-CA"/>
              </w:rPr>
              <w:t>$989</w:t>
            </w:r>
          </w:p>
        </w:tc>
        <w:tc>
          <w:tcPr>
            <w:tcW w:w="1502" w:type="dxa"/>
            <w:tcBorders>
              <w:top w:val="nil"/>
              <w:left w:val="nil"/>
              <w:bottom w:val="single" w:sz="4" w:space="0" w:color="auto"/>
              <w:right w:val="single" w:sz="4" w:space="0" w:color="auto"/>
            </w:tcBorders>
            <w:shd w:val="clear" w:color="auto" w:fill="auto"/>
            <w:noWrap/>
            <w:vAlign w:val="bottom"/>
            <w:hideMark/>
          </w:tcPr>
          <w:p w:rsidR="005A7A1C" w:rsidRPr="005A7A1C" w:rsidRDefault="00A94065" w:rsidP="00A94065">
            <w:pPr>
              <w:spacing w:before="40" w:after="40" w:line="240" w:lineRule="auto"/>
              <w:jc w:val="right"/>
              <w:rPr>
                <w:rFonts w:ascii="Calibri" w:eastAsia="Times New Roman" w:hAnsi="Calibri"/>
                <w:color w:val="000000"/>
                <w:sz w:val="22"/>
                <w:szCs w:val="22"/>
                <w:lang w:eastAsia="en-CA"/>
              </w:rPr>
            </w:pPr>
            <w:r>
              <w:rPr>
                <w:rFonts w:ascii="Calibri" w:eastAsia="Times New Roman" w:hAnsi="Calibri"/>
                <w:color w:val="000000"/>
                <w:sz w:val="22"/>
                <w:szCs w:val="22"/>
                <w:lang w:eastAsia="en-CA"/>
              </w:rPr>
              <w:t>7-8,000</w:t>
            </w:r>
            <w:r w:rsidR="005A7A1C" w:rsidRPr="005A7A1C">
              <w:rPr>
                <w:rFonts w:ascii="Calibri" w:eastAsia="Times New Roman" w:hAnsi="Calibri"/>
                <w:color w:val="000000"/>
                <w:sz w:val="22"/>
                <w:szCs w:val="22"/>
                <w:lang w:eastAsia="en-CA"/>
              </w:rPr>
              <w:t xml:space="preserve"> </w:t>
            </w:r>
          </w:p>
        </w:tc>
        <w:tc>
          <w:tcPr>
            <w:tcW w:w="1335" w:type="dxa"/>
            <w:tcBorders>
              <w:top w:val="nil"/>
              <w:left w:val="nil"/>
              <w:bottom w:val="single" w:sz="4" w:space="0" w:color="auto"/>
              <w:right w:val="single" w:sz="8" w:space="0" w:color="auto"/>
            </w:tcBorders>
            <w:shd w:val="clear" w:color="auto" w:fill="auto"/>
            <w:noWrap/>
            <w:vAlign w:val="bottom"/>
            <w:hideMark/>
          </w:tcPr>
          <w:p w:rsidR="005A7A1C" w:rsidRPr="005A7A1C" w:rsidRDefault="005A7A1C" w:rsidP="00A94065">
            <w:pPr>
              <w:spacing w:before="40" w:after="40" w:line="240" w:lineRule="auto"/>
              <w:jc w:val="right"/>
              <w:rPr>
                <w:rFonts w:ascii="Calibri" w:eastAsia="Times New Roman" w:hAnsi="Calibri"/>
                <w:color w:val="000000"/>
                <w:sz w:val="22"/>
                <w:szCs w:val="22"/>
                <w:lang w:eastAsia="en-CA"/>
              </w:rPr>
            </w:pPr>
            <w:r w:rsidRPr="005A7A1C">
              <w:rPr>
                <w:rFonts w:ascii="Calibri" w:eastAsia="Times New Roman" w:hAnsi="Calibri"/>
                <w:color w:val="000000"/>
                <w:sz w:val="22"/>
                <w:szCs w:val="22"/>
                <w:lang w:eastAsia="en-CA"/>
              </w:rPr>
              <w:t>2015</w:t>
            </w:r>
          </w:p>
        </w:tc>
      </w:tr>
      <w:tr w:rsidR="005A7A1C" w:rsidRPr="005A7A1C" w:rsidTr="00E004BC">
        <w:trPr>
          <w:trHeight w:val="52"/>
        </w:trPr>
        <w:tc>
          <w:tcPr>
            <w:tcW w:w="4528" w:type="dxa"/>
            <w:tcBorders>
              <w:top w:val="nil"/>
              <w:left w:val="single" w:sz="8" w:space="0" w:color="auto"/>
              <w:bottom w:val="single" w:sz="4" w:space="0" w:color="auto"/>
              <w:right w:val="single" w:sz="4" w:space="0" w:color="auto"/>
            </w:tcBorders>
            <w:shd w:val="clear" w:color="auto" w:fill="auto"/>
            <w:noWrap/>
            <w:vAlign w:val="bottom"/>
            <w:hideMark/>
          </w:tcPr>
          <w:p w:rsidR="005A7A1C" w:rsidRPr="005A7A1C" w:rsidRDefault="005A7A1C" w:rsidP="00A94065">
            <w:pPr>
              <w:spacing w:before="40" w:after="40" w:line="240" w:lineRule="auto"/>
              <w:rPr>
                <w:rFonts w:ascii="Calibri" w:eastAsia="Times New Roman" w:hAnsi="Calibri"/>
                <w:color w:val="000000"/>
                <w:sz w:val="22"/>
                <w:szCs w:val="22"/>
                <w:lang w:eastAsia="en-CA"/>
              </w:rPr>
            </w:pPr>
            <w:r w:rsidRPr="005A7A1C">
              <w:rPr>
                <w:rFonts w:ascii="Calibri" w:eastAsia="Times New Roman" w:hAnsi="Calibri"/>
                <w:color w:val="000000"/>
                <w:sz w:val="22"/>
                <w:szCs w:val="22"/>
                <w:lang w:eastAsia="en-CA"/>
              </w:rPr>
              <w:t>Package 2 - 10 GW system</w:t>
            </w:r>
          </w:p>
        </w:tc>
        <w:tc>
          <w:tcPr>
            <w:tcW w:w="1311" w:type="dxa"/>
            <w:tcBorders>
              <w:top w:val="nil"/>
              <w:left w:val="nil"/>
              <w:bottom w:val="single" w:sz="4" w:space="0" w:color="auto"/>
              <w:right w:val="single" w:sz="4" w:space="0" w:color="auto"/>
            </w:tcBorders>
            <w:shd w:val="clear" w:color="auto" w:fill="auto"/>
            <w:noWrap/>
            <w:vAlign w:val="bottom"/>
            <w:hideMark/>
          </w:tcPr>
          <w:p w:rsidR="005A7A1C" w:rsidRPr="005A7A1C" w:rsidRDefault="005A7A1C" w:rsidP="00A94065">
            <w:pPr>
              <w:spacing w:before="40" w:after="40" w:line="240" w:lineRule="auto"/>
              <w:jc w:val="right"/>
              <w:rPr>
                <w:rFonts w:ascii="Calibri" w:eastAsia="Times New Roman" w:hAnsi="Calibri"/>
                <w:color w:val="000000"/>
                <w:sz w:val="22"/>
                <w:szCs w:val="22"/>
                <w:lang w:eastAsia="en-CA"/>
              </w:rPr>
            </w:pPr>
            <w:r w:rsidRPr="005A7A1C">
              <w:rPr>
                <w:rFonts w:ascii="Calibri" w:eastAsia="Times New Roman" w:hAnsi="Calibri"/>
                <w:color w:val="000000"/>
                <w:sz w:val="22"/>
                <w:szCs w:val="22"/>
                <w:lang w:eastAsia="en-CA"/>
              </w:rPr>
              <w:t>$2,235</w:t>
            </w:r>
          </w:p>
        </w:tc>
        <w:tc>
          <w:tcPr>
            <w:tcW w:w="1502" w:type="dxa"/>
            <w:tcBorders>
              <w:top w:val="nil"/>
              <w:left w:val="nil"/>
              <w:bottom w:val="single" w:sz="4" w:space="0" w:color="auto"/>
              <w:right w:val="single" w:sz="4" w:space="0" w:color="auto"/>
            </w:tcBorders>
            <w:shd w:val="clear" w:color="auto" w:fill="auto"/>
            <w:noWrap/>
            <w:vAlign w:val="bottom"/>
            <w:hideMark/>
          </w:tcPr>
          <w:p w:rsidR="005A7A1C" w:rsidRPr="005A7A1C" w:rsidRDefault="005A7A1C" w:rsidP="00A94065">
            <w:pPr>
              <w:spacing w:before="40" w:after="40" w:line="240" w:lineRule="auto"/>
              <w:jc w:val="right"/>
              <w:rPr>
                <w:rFonts w:ascii="Calibri" w:eastAsia="Times New Roman" w:hAnsi="Calibri"/>
                <w:color w:val="000000"/>
                <w:sz w:val="22"/>
                <w:szCs w:val="22"/>
                <w:lang w:eastAsia="en-CA"/>
              </w:rPr>
            </w:pPr>
            <w:r w:rsidRPr="005A7A1C">
              <w:rPr>
                <w:rFonts w:ascii="Calibri" w:eastAsia="Times New Roman" w:hAnsi="Calibri"/>
                <w:color w:val="000000"/>
                <w:sz w:val="22"/>
                <w:szCs w:val="22"/>
                <w:lang w:eastAsia="en-CA"/>
              </w:rPr>
              <w:t xml:space="preserve">           10,000 </w:t>
            </w:r>
          </w:p>
        </w:tc>
        <w:tc>
          <w:tcPr>
            <w:tcW w:w="1335" w:type="dxa"/>
            <w:tcBorders>
              <w:top w:val="nil"/>
              <w:left w:val="nil"/>
              <w:bottom w:val="single" w:sz="4" w:space="0" w:color="auto"/>
              <w:right w:val="single" w:sz="8" w:space="0" w:color="auto"/>
            </w:tcBorders>
            <w:shd w:val="clear" w:color="auto" w:fill="auto"/>
            <w:noWrap/>
            <w:vAlign w:val="bottom"/>
            <w:hideMark/>
          </w:tcPr>
          <w:p w:rsidR="005A7A1C" w:rsidRPr="005A7A1C" w:rsidRDefault="005A7A1C" w:rsidP="00A94065">
            <w:pPr>
              <w:spacing w:before="40" w:after="40" w:line="240" w:lineRule="auto"/>
              <w:jc w:val="right"/>
              <w:rPr>
                <w:rFonts w:ascii="Calibri" w:eastAsia="Times New Roman" w:hAnsi="Calibri"/>
                <w:color w:val="000000"/>
                <w:sz w:val="22"/>
                <w:szCs w:val="22"/>
                <w:lang w:eastAsia="en-CA"/>
              </w:rPr>
            </w:pPr>
            <w:r w:rsidRPr="005A7A1C">
              <w:rPr>
                <w:rFonts w:ascii="Calibri" w:eastAsia="Times New Roman" w:hAnsi="Calibri"/>
                <w:color w:val="000000"/>
                <w:sz w:val="22"/>
                <w:szCs w:val="22"/>
                <w:lang w:eastAsia="en-CA"/>
              </w:rPr>
              <w:t>2017</w:t>
            </w:r>
          </w:p>
        </w:tc>
      </w:tr>
      <w:tr w:rsidR="005A7A1C" w:rsidRPr="005A7A1C" w:rsidTr="00E004BC">
        <w:trPr>
          <w:trHeight w:val="52"/>
        </w:trPr>
        <w:tc>
          <w:tcPr>
            <w:tcW w:w="4528" w:type="dxa"/>
            <w:tcBorders>
              <w:top w:val="nil"/>
              <w:left w:val="single" w:sz="8" w:space="0" w:color="auto"/>
              <w:bottom w:val="single" w:sz="8" w:space="0" w:color="auto"/>
              <w:right w:val="single" w:sz="4" w:space="0" w:color="auto"/>
            </w:tcBorders>
            <w:shd w:val="clear" w:color="000000" w:fill="FFFF00"/>
            <w:noWrap/>
            <w:vAlign w:val="bottom"/>
            <w:hideMark/>
          </w:tcPr>
          <w:p w:rsidR="005A7A1C" w:rsidRPr="005A7A1C" w:rsidRDefault="005A7A1C" w:rsidP="00A94065">
            <w:pPr>
              <w:spacing w:before="40" w:after="40" w:line="240" w:lineRule="auto"/>
              <w:jc w:val="right"/>
              <w:rPr>
                <w:rFonts w:ascii="Calibri" w:eastAsia="Times New Roman" w:hAnsi="Calibri"/>
                <w:i/>
                <w:iCs/>
                <w:color w:val="000000"/>
                <w:sz w:val="24"/>
                <w:szCs w:val="24"/>
                <w:u w:val="single"/>
                <w:lang w:eastAsia="en-CA"/>
              </w:rPr>
            </w:pPr>
            <w:r w:rsidRPr="005A7A1C">
              <w:rPr>
                <w:rFonts w:ascii="Calibri" w:eastAsia="Times New Roman" w:hAnsi="Calibri"/>
                <w:i/>
                <w:iCs/>
                <w:color w:val="000000"/>
                <w:sz w:val="24"/>
                <w:szCs w:val="24"/>
                <w:u w:val="single"/>
                <w:lang w:eastAsia="en-CA"/>
              </w:rPr>
              <w:t>Sub-Total ($</w:t>
            </w:r>
            <w:r w:rsidR="00607C05">
              <w:rPr>
                <w:rFonts w:ascii="Calibri" w:eastAsia="Times New Roman" w:hAnsi="Calibri"/>
                <w:i/>
                <w:iCs/>
                <w:color w:val="000000"/>
                <w:sz w:val="24"/>
                <w:szCs w:val="24"/>
                <w:u w:val="single"/>
                <w:lang w:eastAsia="en-CA"/>
              </w:rPr>
              <w:t>USD</w:t>
            </w:r>
            <w:r w:rsidRPr="005A7A1C">
              <w:rPr>
                <w:rFonts w:ascii="Calibri" w:eastAsia="Times New Roman" w:hAnsi="Calibri"/>
                <w:i/>
                <w:iCs/>
                <w:color w:val="000000"/>
                <w:sz w:val="24"/>
                <w:szCs w:val="24"/>
                <w:u w:val="single"/>
                <w:lang w:eastAsia="en-CA"/>
              </w:rPr>
              <w:t xml:space="preserve"> Millions)</w:t>
            </w:r>
          </w:p>
        </w:tc>
        <w:tc>
          <w:tcPr>
            <w:tcW w:w="1311" w:type="dxa"/>
            <w:tcBorders>
              <w:top w:val="nil"/>
              <w:left w:val="nil"/>
              <w:bottom w:val="single" w:sz="4" w:space="0" w:color="auto"/>
              <w:right w:val="single" w:sz="4" w:space="0" w:color="auto"/>
            </w:tcBorders>
            <w:shd w:val="clear" w:color="000000" w:fill="FFFF00"/>
            <w:noWrap/>
            <w:vAlign w:val="bottom"/>
            <w:hideMark/>
          </w:tcPr>
          <w:p w:rsidR="005A7A1C" w:rsidRPr="005A7A1C" w:rsidRDefault="005A7A1C" w:rsidP="00A94065">
            <w:pPr>
              <w:spacing w:before="40" w:after="40" w:line="240" w:lineRule="auto"/>
              <w:jc w:val="right"/>
              <w:rPr>
                <w:rFonts w:ascii="Calibri" w:eastAsia="Times New Roman" w:hAnsi="Calibri"/>
                <w:color w:val="000000"/>
                <w:sz w:val="24"/>
                <w:szCs w:val="24"/>
                <w:lang w:eastAsia="en-CA"/>
              </w:rPr>
            </w:pPr>
            <w:r w:rsidRPr="005A7A1C">
              <w:rPr>
                <w:rFonts w:ascii="Calibri" w:eastAsia="Times New Roman" w:hAnsi="Calibri"/>
                <w:color w:val="000000"/>
                <w:sz w:val="24"/>
                <w:szCs w:val="24"/>
                <w:lang w:eastAsia="en-CA"/>
              </w:rPr>
              <w:t>$4,172</w:t>
            </w:r>
          </w:p>
        </w:tc>
        <w:tc>
          <w:tcPr>
            <w:tcW w:w="1502" w:type="dxa"/>
            <w:tcBorders>
              <w:top w:val="nil"/>
              <w:left w:val="nil"/>
              <w:bottom w:val="single" w:sz="4" w:space="0" w:color="auto"/>
              <w:right w:val="single" w:sz="4" w:space="0" w:color="auto"/>
            </w:tcBorders>
            <w:shd w:val="clear" w:color="000000" w:fill="FFFF00"/>
            <w:noWrap/>
            <w:vAlign w:val="bottom"/>
            <w:hideMark/>
          </w:tcPr>
          <w:p w:rsidR="005A7A1C" w:rsidRPr="005A7A1C" w:rsidRDefault="005A7A1C" w:rsidP="00A94065">
            <w:pPr>
              <w:spacing w:before="40" w:after="40" w:line="240" w:lineRule="auto"/>
              <w:jc w:val="right"/>
              <w:rPr>
                <w:rFonts w:ascii="Calibri" w:eastAsia="Times New Roman" w:hAnsi="Calibri"/>
                <w:color w:val="000000"/>
                <w:sz w:val="22"/>
                <w:szCs w:val="22"/>
                <w:lang w:eastAsia="en-CA"/>
              </w:rPr>
            </w:pPr>
            <w:r w:rsidRPr="005A7A1C">
              <w:rPr>
                <w:rFonts w:ascii="Calibri" w:eastAsia="Times New Roman" w:hAnsi="Calibri"/>
                <w:color w:val="000000"/>
                <w:sz w:val="22"/>
                <w:szCs w:val="22"/>
                <w:lang w:eastAsia="en-CA"/>
              </w:rPr>
              <w:t> </w:t>
            </w:r>
          </w:p>
        </w:tc>
        <w:tc>
          <w:tcPr>
            <w:tcW w:w="1335" w:type="dxa"/>
            <w:tcBorders>
              <w:top w:val="nil"/>
              <w:left w:val="nil"/>
              <w:bottom w:val="single" w:sz="4" w:space="0" w:color="auto"/>
              <w:right w:val="single" w:sz="8" w:space="0" w:color="auto"/>
            </w:tcBorders>
            <w:shd w:val="clear" w:color="000000" w:fill="FFFF00"/>
            <w:noWrap/>
            <w:vAlign w:val="bottom"/>
            <w:hideMark/>
          </w:tcPr>
          <w:p w:rsidR="005A7A1C" w:rsidRPr="005A7A1C" w:rsidRDefault="005A7A1C" w:rsidP="00A94065">
            <w:pPr>
              <w:spacing w:before="40" w:after="40" w:line="240" w:lineRule="auto"/>
              <w:rPr>
                <w:rFonts w:ascii="Calibri" w:eastAsia="Times New Roman" w:hAnsi="Calibri"/>
                <w:color w:val="000000"/>
                <w:sz w:val="22"/>
                <w:szCs w:val="22"/>
                <w:lang w:eastAsia="en-CA"/>
              </w:rPr>
            </w:pPr>
            <w:r w:rsidRPr="005A7A1C">
              <w:rPr>
                <w:rFonts w:ascii="Calibri" w:eastAsia="Times New Roman" w:hAnsi="Calibri"/>
                <w:color w:val="000000"/>
                <w:sz w:val="22"/>
                <w:szCs w:val="22"/>
                <w:lang w:eastAsia="en-CA"/>
              </w:rPr>
              <w:t> </w:t>
            </w:r>
          </w:p>
        </w:tc>
      </w:tr>
    </w:tbl>
    <w:p w:rsidR="005A7A1C" w:rsidRDefault="005A7A1C">
      <w:pPr>
        <w:spacing w:line="240" w:lineRule="auto"/>
        <w:rPr>
          <w:rFonts w:cs="Arial"/>
          <w:lang w:val="en-GB"/>
        </w:rPr>
      </w:pPr>
    </w:p>
    <w:p w:rsidR="005A7A1C" w:rsidRDefault="005A7A1C">
      <w:pPr>
        <w:spacing w:line="240" w:lineRule="auto"/>
        <w:rPr>
          <w:rFonts w:cs="Arial"/>
          <w:lang w:val="en-GB"/>
        </w:rPr>
      </w:pPr>
    </w:p>
    <w:p w:rsidR="00A94065" w:rsidRDefault="00CF05A0" w:rsidP="00A94065">
      <w:pPr>
        <w:spacing w:line="240" w:lineRule="auto"/>
        <w:rPr>
          <w:rFonts w:cs="Arial"/>
          <w:lang w:val="en-GB"/>
        </w:rPr>
      </w:pPr>
      <w:r>
        <w:rPr>
          <w:rFonts w:cs="Arial"/>
          <w:lang w:val="en-GB"/>
        </w:rPr>
        <w:fldChar w:fldCharType="begin"/>
      </w:r>
      <w:r w:rsidR="00A94065">
        <w:rPr>
          <w:rFonts w:cs="Arial"/>
          <w:lang w:val="en-GB"/>
        </w:rPr>
        <w:instrText xml:space="preserve"> REF _Ref380571192 \h </w:instrText>
      </w:r>
      <w:r>
        <w:rPr>
          <w:rFonts w:cs="Arial"/>
          <w:lang w:val="en-GB"/>
        </w:rPr>
      </w:r>
      <w:r>
        <w:rPr>
          <w:rFonts w:cs="Arial"/>
          <w:lang w:val="en-GB"/>
        </w:rPr>
        <w:fldChar w:fldCharType="separate"/>
      </w:r>
      <w:r w:rsidR="0056026E">
        <w:t xml:space="preserve">Table </w:t>
      </w:r>
      <w:r w:rsidR="0056026E">
        <w:rPr>
          <w:noProof/>
        </w:rPr>
        <w:t>3</w:t>
      </w:r>
      <w:r w:rsidR="0056026E">
        <w:noBreakHyphen/>
      </w:r>
      <w:r w:rsidR="0056026E">
        <w:rPr>
          <w:noProof/>
        </w:rPr>
        <w:t>4</w:t>
      </w:r>
      <w:r>
        <w:rPr>
          <w:rFonts w:cs="Arial"/>
          <w:lang w:val="en-GB"/>
        </w:rPr>
        <w:fldChar w:fldCharType="end"/>
      </w:r>
      <w:r w:rsidR="00A94065">
        <w:rPr>
          <w:rFonts w:cs="Arial"/>
          <w:lang w:val="en-GB"/>
        </w:rPr>
        <w:t xml:space="preserve"> shows the funding requirement for </w:t>
      </w:r>
      <w:r w:rsidR="005A7A1C">
        <w:rPr>
          <w:rFonts w:cs="Arial"/>
          <w:lang w:val="en-GB"/>
        </w:rPr>
        <w:t xml:space="preserve">three additional project packages needed to expand the system to 20 GW by the year 2020. </w:t>
      </w:r>
      <w:r w:rsidR="00A94065">
        <w:rPr>
          <w:rFonts w:cs="Arial"/>
          <w:lang w:val="en-GB"/>
        </w:rPr>
        <w:t>The estimated cost to expand from 10 GW to 20 GW was developed by T</w:t>
      </w:r>
      <w:r w:rsidR="00D12904">
        <w:rPr>
          <w:rFonts w:cs="Arial"/>
          <w:lang w:val="en-GB"/>
        </w:rPr>
        <w:t>CN using cost data provided by NIAF</w:t>
      </w:r>
      <w:r w:rsidR="00A94065">
        <w:rPr>
          <w:rFonts w:cs="Arial"/>
          <w:lang w:val="en-GB"/>
        </w:rPr>
        <w:t xml:space="preserve"> for generic components </w:t>
      </w:r>
      <w:r w:rsidR="00D12904">
        <w:rPr>
          <w:rFonts w:cs="Arial"/>
          <w:lang w:val="en-GB"/>
        </w:rPr>
        <w:t xml:space="preserve">of </w:t>
      </w:r>
      <w:r w:rsidR="00A94065">
        <w:rPr>
          <w:rFonts w:cs="Arial"/>
          <w:lang w:val="en-GB"/>
        </w:rPr>
        <w:t>line and substation</w:t>
      </w:r>
      <w:r w:rsidR="00D12904">
        <w:rPr>
          <w:rFonts w:cs="Arial"/>
          <w:lang w:val="en-GB"/>
        </w:rPr>
        <w:t xml:space="preserve"> projects.  The NIAF figures are</w:t>
      </w:r>
      <w:r w:rsidR="00A94065">
        <w:rPr>
          <w:rFonts w:cs="Arial"/>
          <w:lang w:val="en-GB"/>
        </w:rPr>
        <w:t xml:space="preserve"> based on actual recent costs for NIPP transmission projects.</w:t>
      </w:r>
      <w:r w:rsidR="007A69A8">
        <w:rPr>
          <w:rFonts w:cs="Arial"/>
          <w:lang w:val="en-GB"/>
        </w:rPr>
        <w:t xml:space="preserve">  See </w:t>
      </w:r>
      <w:r>
        <w:rPr>
          <w:rFonts w:cs="Arial"/>
          <w:lang w:val="en-GB"/>
        </w:rPr>
        <w:fldChar w:fldCharType="begin"/>
      </w:r>
      <w:r w:rsidR="007A69A8">
        <w:rPr>
          <w:rFonts w:cs="Arial"/>
          <w:lang w:val="en-GB"/>
        </w:rPr>
        <w:instrText xml:space="preserve"> REF _Ref381092985 \w \h </w:instrText>
      </w:r>
      <w:r>
        <w:rPr>
          <w:rFonts w:cs="Arial"/>
          <w:lang w:val="en-GB"/>
        </w:rPr>
      </w:r>
      <w:r>
        <w:rPr>
          <w:rFonts w:cs="Arial"/>
          <w:lang w:val="en-GB"/>
        </w:rPr>
        <w:fldChar w:fldCharType="separate"/>
      </w:r>
      <w:r w:rsidR="0056026E">
        <w:rPr>
          <w:rFonts w:cs="Arial"/>
          <w:lang w:val="en-GB"/>
        </w:rPr>
        <w:t>Appendix G</w:t>
      </w:r>
      <w:r>
        <w:rPr>
          <w:rFonts w:cs="Arial"/>
          <w:lang w:val="en-GB"/>
        </w:rPr>
        <w:fldChar w:fldCharType="end"/>
      </w:r>
      <w:r w:rsidR="007A69A8">
        <w:rPr>
          <w:rFonts w:cs="Arial"/>
          <w:lang w:val="en-GB"/>
        </w:rPr>
        <w:t xml:space="preserve"> for NIAF assumptions used for estimating costs.</w:t>
      </w:r>
    </w:p>
    <w:p w:rsidR="003920CE" w:rsidRDefault="003920CE">
      <w:pPr>
        <w:spacing w:line="240" w:lineRule="auto"/>
        <w:rPr>
          <w:rFonts w:cs="Arial"/>
          <w:lang w:val="en-GB"/>
        </w:rPr>
      </w:pPr>
    </w:p>
    <w:p w:rsidR="005A7A1C" w:rsidRDefault="005A7A1C">
      <w:pPr>
        <w:spacing w:line="240" w:lineRule="auto"/>
        <w:rPr>
          <w:rFonts w:cs="Arial"/>
          <w:lang w:val="en-GB"/>
        </w:rPr>
      </w:pPr>
    </w:p>
    <w:p w:rsidR="00E004BC" w:rsidRDefault="00E004BC" w:rsidP="00E004BC">
      <w:pPr>
        <w:pStyle w:val="Caption"/>
      </w:pPr>
      <w:bookmarkStart w:id="16" w:name="_Ref380571192"/>
      <w:r>
        <w:t xml:space="preserve">Table </w:t>
      </w:r>
      <w:r w:rsidR="00CF05A0">
        <w:fldChar w:fldCharType="begin"/>
      </w:r>
      <w:r w:rsidR="006D7424">
        <w:instrText xml:space="preserve"> STYLEREF 1 \s </w:instrText>
      </w:r>
      <w:r w:rsidR="00CF05A0">
        <w:fldChar w:fldCharType="separate"/>
      </w:r>
      <w:r w:rsidR="0056026E">
        <w:rPr>
          <w:noProof/>
        </w:rPr>
        <w:t>3</w:t>
      </w:r>
      <w:r w:rsidR="00CF05A0">
        <w:rPr>
          <w:noProof/>
        </w:rPr>
        <w:fldChar w:fldCharType="end"/>
      </w:r>
      <w:r w:rsidR="00B2235A">
        <w:noBreakHyphen/>
      </w:r>
      <w:r w:rsidR="00CF05A0">
        <w:fldChar w:fldCharType="begin"/>
      </w:r>
      <w:r w:rsidR="006D7424">
        <w:instrText xml:space="preserve"> SEQ Table \* ARABIC \s 1 </w:instrText>
      </w:r>
      <w:r w:rsidR="00CF05A0">
        <w:fldChar w:fldCharType="separate"/>
      </w:r>
      <w:r w:rsidR="0056026E">
        <w:rPr>
          <w:noProof/>
        </w:rPr>
        <w:t>4</w:t>
      </w:r>
      <w:r w:rsidR="00CF05A0">
        <w:rPr>
          <w:noProof/>
        </w:rPr>
        <w:fldChar w:fldCharType="end"/>
      </w:r>
      <w:bookmarkEnd w:id="16"/>
      <w:r>
        <w:t xml:space="preserve">: </w:t>
      </w:r>
      <w:r w:rsidRPr="00E004BC">
        <w:t>Funding Requirements to go from 10 GW to 20 GW</w:t>
      </w:r>
    </w:p>
    <w:tbl>
      <w:tblPr>
        <w:tblW w:w="8747" w:type="dxa"/>
        <w:tblInd w:w="93" w:type="dxa"/>
        <w:tblLook w:val="04A0"/>
      </w:tblPr>
      <w:tblGrid>
        <w:gridCol w:w="4566"/>
        <w:gridCol w:w="1322"/>
        <w:gridCol w:w="1514"/>
        <w:gridCol w:w="1345"/>
      </w:tblGrid>
      <w:tr w:rsidR="005A7A1C" w:rsidRPr="005A7A1C" w:rsidTr="00A94065">
        <w:trPr>
          <w:trHeight w:val="187"/>
        </w:trPr>
        <w:tc>
          <w:tcPr>
            <w:tcW w:w="4566" w:type="dxa"/>
            <w:tcBorders>
              <w:top w:val="single" w:sz="8" w:space="0" w:color="auto"/>
              <w:left w:val="single" w:sz="8" w:space="0" w:color="auto"/>
              <w:bottom w:val="single" w:sz="4" w:space="0" w:color="auto"/>
              <w:right w:val="single" w:sz="4" w:space="0" w:color="auto"/>
            </w:tcBorders>
            <w:shd w:val="clear" w:color="000000" w:fill="EEECE1"/>
            <w:noWrap/>
            <w:vAlign w:val="bottom"/>
            <w:hideMark/>
          </w:tcPr>
          <w:p w:rsidR="005A7A1C" w:rsidRPr="005A7A1C" w:rsidRDefault="005A7A1C" w:rsidP="00A94065">
            <w:pPr>
              <w:spacing w:before="40" w:after="40" w:line="240" w:lineRule="auto"/>
              <w:jc w:val="both"/>
              <w:rPr>
                <w:rFonts w:ascii="Calibri" w:eastAsia="Times New Roman" w:hAnsi="Calibri"/>
                <w:b/>
                <w:bCs/>
                <w:color w:val="000000"/>
                <w:sz w:val="22"/>
                <w:szCs w:val="22"/>
                <w:lang w:eastAsia="en-CA"/>
              </w:rPr>
            </w:pPr>
            <w:r w:rsidRPr="005A7A1C">
              <w:rPr>
                <w:rFonts w:ascii="Calibri" w:eastAsia="Times New Roman" w:hAnsi="Calibri"/>
                <w:b/>
                <w:bCs/>
                <w:color w:val="000000"/>
                <w:sz w:val="22"/>
                <w:szCs w:val="22"/>
                <w:lang w:eastAsia="en-CA"/>
              </w:rPr>
              <w:t>Projects</w:t>
            </w:r>
          </w:p>
        </w:tc>
        <w:tc>
          <w:tcPr>
            <w:tcW w:w="1322" w:type="dxa"/>
            <w:tcBorders>
              <w:top w:val="single" w:sz="8" w:space="0" w:color="auto"/>
              <w:left w:val="nil"/>
              <w:bottom w:val="single" w:sz="4" w:space="0" w:color="auto"/>
              <w:right w:val="single" w:sz="4" w:space="0" w:color="auto"/>
            </w:tcBorders>
            <w:shd w:val="clear" w:color="000000" w:fill="EEECE1"/>
            <w:noWrap/>
            <w:vAlign w:val="bottom"/>
            <w:hideMark/>
          </w:tcPr>
          <w:p w:rsidR="005A7A1C" w:rsidRPr="005A7A1C" w:rsidRDefault="005A7A1C" w:rsidP="00A94065">
            <w:pPr>
              <w:spacing w:before="40" w:after="40" w:line="240" w:lineRule="auto"/>
              <w:jc w:val="center"/>
              <w:rPr>
                <w:rFonts w:ascii="Calibri" w:eastAsia="Times New Roman" w:hAnsi="Calibri"/>
                <w:b/>
                <w:bCs/>
                <w:color w:val="000000"/>
                <w:sz w:val="22"/>
                <w:szCs w:val="22"/>
                <w:u w:val="single"/>
                <w:lang w:eastAsia="en-CA"/>
              </w:rPr>
            </w:pPr>
            <w:r w:rsidRPr="005A7A1C">
              <w:rPr>
                <w:rFonts w:ascii="Calibri" w:eastAsia="Times New Roman" w:hAnsi="Calibri"/>
                <w:b/>
                <w:bCs/>
                <w:color w:val="000000"/>
                <w:sz w:val="22"/>
                <w:szCs w:val="22"/>
                <w:u w:val="single"/>
                <w:lang w:eastAsia="en-CA"/>
              </w:rPr>
              <w:t>$Millions</w:t>
            </w:r>
          </w:p>
        </w:tc>
        <w:tc>
          <w:tcPr>
            <w:tcW w:w="1514" w:type="dxa"/>
            <w:tcBorders>
              <w:top w:val="single" w:sz="8" w:space="0" w:color="auto"/>
              <w:left w:val="nil"/>
              <w:bottom w:val="single" w:sz="4" w:space="0" w:color="auto"/>
              <w:right w:val="single" w:sz="4" w:space="0" w:color="auto"/>
            </w:tcBorders>
            <w:shd w:val="clear" w:color="000000" w:fill="EEECE1"/>
            <w:noWrap/>
            <w:vAlign w:val="bottom"/>
            <w:hideMark/>
          </w:tcPr>
          <w:p w:rsidR="005A7A1C" w:rsidRPr="005A7A1C" w:rsidRDefault="005A7A1C" w:rsidP="00A94065">
            <w:pPr>
              <w:spacing w:before="40" w:after="40" w:line="240" w:lineRule="auto"/>
              <w:jc w:val="center"/>
              <w:rPr>
                <w:rFonts w:ascii="Calibri" w:eastAsia="Times New Roman" w:hAnsi="Calibri"/>
                <w:b/>
                <w:bCs/>
                <w:color w:val="000000"/>
                <w:sz w:val="22"/>
                <w:szCs w:val="22"/>
                <w:u w:val="single"/>
                <w:lang w:eastAsia="en-CA"/>
              </w:rPr>
            </w:pPr>
            <w:r w:rsidRPr="005A7A1C">
              <w:rPr>
                <w:rFonts w:ascii="Calibri" w:eastAsia="Times New Roman" w:hAnsi="Calibri"/>
                <w:b/>
                <w:bCs/>
                <w:color w:val="000000"/>
                <w:sz w:val="22"/>
                <w:szCs w:val="22"/>
                <w:u w:val="single"/>
                <w:lang w:eastAsia="en-CA"/>
              </w:rPr>
              <w:t>GW Target</w:t>
            </w:r>
          </w:p>
        </w:tc>
        <w:tc>
          <w:tcPr>
            <w:tcW w:w="1345" w:type="dxa"/>
            <w:tcBorders>
              <w:top w:val="single" w:sz="8" w:space="0" w:color="auto"/>
              <w:left w:val="nil"/>
              <w:bottom w:val="single" w:sz="4" w:space="0" w:color="auto"/>
              <w:right w:val="single" w:sz="8" w:space="0" w:color="auto"/>
            </w:tcBorders>
            <w:shd w:val="clear" w:color="000000" w:fill="EEECE1"/>
            <w:noWrap/>
            <w:vAlign w:val="bottom"/>
            <w:hideMark/>
          </w:tcPr>
          <w:p w:rsidR="005A7A1C" w:rsidRPr="005A7A1C" w:rsidRDefault="005A7A1C" w:rsidP="00A94065">
            <w:pPr>
              <w:spacing w:before="40" w:after="40" w:line="240" w:lineRule="auto"/>
              <w:jc w:val="center"/>
              <w:rPr>
                <w:rFonts w:ascii="Calibri" w:eastAsia="Times New Roman" w:hAnsi="Calibri"/>
                <w:b/>
                <w:bCs/>
                <w:color w:val="000000"/>
                <w:sz w:val="22"/>
                <w:szCs w:val="22"/>
                <w:u w:val="single"/>
                <w:lang w:eastAsia="en-CA"/>
              </w:rPr>
            </w:pPr>
            <w:r w:rsidRPr="005A7A1C">
              <w:rPr>
                <w:rFonts w:ascii="Calibri" w:eastAsia="Times New Roman" w:hAnsi="Calibri"/>
                <w:b/>
                <w:bCs/>
                <w:color w:val="000000"/>
                <w:sz w:val="22"/>
                <w:szCs w:val="22"/>
                <w:u w:val="single"/>
                <w:lang w:eastAsia="en-CA"/>
              </w:rPr>
              <w:t>In Service</w:t>
            </w:r>
          </w:p>
        </w:tc>
      </w:tr>
      <w:tr w:rsidR="005A7A1C" w:rsidRPr="005A7A1C" w:rsidTr="00A94065">
        <w:trPr>
          <w:trHeight w:val="179"/>
        </w:trPr>
        <w:tc>
          <w:tcPr>
            <w:tcW w:w="45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5A7A1C" w:rsidRPr="005A7A1C" w:rsidRDefault="005A7A1C" w:rsidP="00A94065">
            <w:pPr>
              <w:spacing w:before="40" w:after="40" w:line="240" w:lineRule="auto"/>
              <w:rPr>
                <w:rFonts w:ascii="Calibri" w:eastAsia="Times New Roman" w:hAnsi="Calibri"/>
                <w:color w:val="000000"/>
                <w:sz w:val="22"/>
                <w:szCs w:val="22"/>
                <w:lang w:eastAsia="en-CA"/>
              </w:rPr>
            </w:pPr>
            <w:r w:rsidRPr="005A7A1C">
              <w:rPr>
                <w:rFonts w:ascii="Calibri" w:eastAsia="Times New Roman" w:hAnsi="Calibri"/>
                <w:color w:val="000000"/>
                <w:sz w:val="22"/>
                <w:szCs w:val="22"/>
                <w:lang w:eastAsia="en-CA"/>
              </w:rPr>
              <w:t>Package 3</w:t>
            </w:r>
            <w:r>
              <w:rPr>
                <w:rFonts w:ascii="Calibri" w:eastAsia="Times New Roman" w:hAnsi="Calibri"/>
                <w:color w:val="000000"/>
                <w:sz w:val="22"/>
                <w:szCs w:val="22"/>
                <w:lang w:eastAsia="en-CA"/>
              </w:rPr>
              <w:t xml:space="preserve"> (13 GW)</w:t>
            </w:r>
          </w:p>
        </w:tc>
        <w:tc>
          <w:tcPr>
            <w:tcW w:w="1322" w:type="dxa"/>
            <w:tcBorders>
              <w:top w:val="nil"/>
              <w:left w:val="nil"/>
              <w:bottom w:val="single" w:sz="4" w:space="0" w:color="auto"/>
              <w:right w:val="single" w:sz="4" w:space="0" w:color="auto"/>
            </w:tcBorders>
            <w:shd w:val="clear" w:color="auto" w:fill="auto"/>
            <w:noWrap/>
            <w:vAlign w:val="bottom"/>
            <w:hideMark/>
          </w:tcPr>
          <w:p w:rsidR="005A7A1C" w:rsidRPr="005A7A1C" w:rsidRDefault="005A7A1C" w:rsidP="00A94065">
            <w:pPr>
              <w:spacing w:before="40" w:after="40" w:line="240" w:lineRule="auto"/>
              <w:jc w:val="right"/>
              <w:rPr>
                <w:rFonts w:ascii="Calibri" w:eastAsia="Times New Roman" w:hAnsi="Calibri"/>
                <w:color w:val="000000"/>
                <w:sz w:val="22"/>
                <w:szCs w:val="22"/>
                <w:lang w:eastAsia="en-CA"/>
              </w:rPr>
            </w:pPr>
            <w:r w:rsidRPr="005A7A1C">
              <w:rPr>
                <w:rFonts w:ascii="Calibri" w:eastAsia="Times New Roman" w:hAnsi="Calibri"/>
                <w:color w:val="000000"/>
                <w:sz w:val="22"/>
                <w:szCs w:val="22"/>
                <w:lang w:eastAsia="en-CA"/>
              </w:rPr>
              <w:t>$1,570</w:t>
            </w:r>
          </w:p>
        </w:tc>
        <w:tc>
          <w:tcPr>
            <w:tcW w:w="1514" w:type="dxa"/>
            <w:tcBorders>
              <w:top w:val="nil"/>
              <w:left w:val="nil"/>
              <w:bottom w:val="single" w:sz="4" w:space="0" w:color="auto"/>
              <w:right w:val="single" w:sz="4" w:space="0" w:color="auto"/>
            </w:tcBorders>
            <w:shd w:val="clear" w:color="auto" w:fill="auto"/>
            <w:noWrap/>
            <w:vAlign w:val="bottom"/>
            <w:hideMark/>
          </w:tcPr>
          <w:p w:rsidR="005A7A1C" w:rsidRPr="005A7A1C" w:rsidRDefault="005A7A1C" w:rsidP="00A94065">
            <w:pPr>
              <w:spacing w:before="40" w:after="40" w:line="240" w:lineRule="auto"/>
              <w:rPr>
                <w:rFonts w:ascii="Calibri" w:eastAsia="Times New Roman" w:hAnsi="Calibri"/>
                <w:color w:val="000000"/>
                <w:sz w:val="22"/>
                <w:szCs w:val="22"/>
                <w:lang w:eastAsia="en-CA"/>
              </w:rPr>
            </w:pPr>
            <w:r w:rsidRPr="005A7A1C">
              <w:rPr>
                <w:rFonts w:ascii="Calibri" w:eastAsia="Times New Roman" w:hAnsi="Calibri"/>
                <w:color w:val="000000"/>
                <w:sz w:val="22"/>
                <w:szCs w:val="22"/>
                <w:lang w:eastAsia="en-CA"/>
              </w:rPr>
              <w:t xml:space="preserve">           13,000 </w:t>
            </w:r>
          </w:p>
        </w:tc>
        <w:tc>
          <w:tcPr>
            <w:tcW w:w="1345" w:type="dxa"/>
            <w:tcBorders>
              <w:top w:val="nil"/>
              <w:left w:val="nil"/>
              <w:bottom w:val="single" w:sz="4" w:space="0" w:color="auto"/>
              <w:right w:val="single" w:sz="8" w:space="0" w:color="auto"/>
            </w:tcBorders>
            <w:shd w:val="clear" w:color="auto" w:fill="auto"/>
            <w:noWrap/>
            <w:vAlign w:val="bottom"/>
            <w:hideMark/>
          </w:tcPr>
          <w:p w:rsidR="005A7A1C" w:rsidRPr="005A7A1C" w:rsidRDefault="005A7A1C" w:rsidP="00A94065">
            <w:pPr>
              <w:spacing w:before="40" w:after="40" w:line="240" w:lineRule="auto"/>
              <w:jc w:val="right"/>
              <w:rPr>
                <w:rFonts w:ascii="Calibri" w:eastAsia="Times New Roman" w:hAnsi="Calibri"/>
                <w:color w:val="000000"/>
                <w:sz w:val="22"/>
                <w:szCs w:val="22"/>
                <w:lang w:eastAsia="en-CA"/>
              </w:rPr>
            </w:pPr>
            <w:r w:rsidRPr="005A7A1C">
              <w:rPr>
                <w:rFonts w:ascii="Calibri" w:eastAsia="Times New Roman" w:hAnsi="Calibri"/>
                <w:color w:val="000000"/>
                <w:sz w:val="22"/>
                <w:szCs w:val="22"/>
                <w:lang w:eastAsia="en-CA"/>
              </w:rPr>
              <w:t>2018</w:t>
            </w:r>
          </w:p>
        </w:tc>
      </w:tr>
      <w:tr w:rsidR="005A7A1C" w:rsidRPr="005A7A1C" w:rsidTr="00A94065">
        <w:trPr>
          <w:trHeight w:val="269"/>
        </w:trPr>
        <w:tc>
          <w:tcPr>
            <w:tcW w:w="4566" w:type="dxa"/>
            <w:tcBorders>
              <w:top w:val="nil"/>
              <w:left w:val="single" w:sz="8" w:space="0" w:color="auto"/>
              <w:bottom w:val="single" w:sz="4" w:space="0" w:color="auto"/>
              <w:right w:val="single" w:sz="4" w:space="0" w:color="auto"/>
            </w:tcBorders>
            <w:shd w:val="clear" w:color="auto" w:fill="auto"/>
            <w:noWrap/>
            <w:vAlign w:val="bottom"/>
            <w:hideMark/>
          </w:tcPr>
          <w:p w:rsidR="005A7A1C" w:rsidRPr="005A7A1C" w:rsidRDefault="005A7A1C" w:rsidP="00A94065">
            <w:pPr>
              <w:spacing w:before="40" w:after="40" w:line="240" w:lineRule="auto"/>
              <w:rPr>
                <w:rFonts w:ascii="Calibri" w:eastAsia="Times New Roman" w:hAnsi="Calibri"/>
                <w:color w:val="000000"/>
                <w:sz w:val="22"/>
                <w:szCs w:val="22"/>
                <w:lang w:eastAsia="en-CA"/>
              </w:rPr>
            </w:pPr>
            <w:r w:rsidRPr="005A7A1C">
              <w:rPr>
                <w:rFonts w:ascii="Calibri" w:eastAsia="Times New Roman" w:hAnsi="Calibri"/>
                <w:color w:val="000000"/>
                <w:sz w:val="22"/>
                <w:szCs w:val="22"/>
                <w:lang w:eastAsia="en-CA"/>
              </w:rPr>
              <w:t>Package 4</w:t>
            </w:r>
            <w:r>
              <w:rPr>
                <w:rFonts w:ascii="Calibri" w:eastAsia="Times New Roman" w:hAnsi="Calibri"/>
                <w:color w:val="000000"/>
                <w:sz w:val="22"/>
                <w:szCs w:val="22"/>
                <w:lang w:eastAsia="en-CA"/>
              </w:rPr>
              <w:t xml:space="preserve"> (16 GW)</w:t>
            </w:r>
          </w:p>
        </w:tc>
        <w:tc>
          <w:tcPr>
            <w:tcW w:w="1322" w:type="dxa"/>
            <w:tcBorders>
              <w:top w:val="nil"/>
              <w:left w:val="nil"/>
              <w:bottom w:val="single" w:sz="4" w:space="0" w:color="auto"/>
              <w:right w:val="single" w:sz="4" w:space="0" w:color="auto"/>
            </w:tcBorders>
            <w:shd w:val="clear" w:color="auto" w:fill="auto"/>
            <w:noWrap/>
            <w:vAlign w:val="bottom"/>
            <w:hideMark/>
          </w:tcPr>
          <w:p w:rsidR="005A7A1C" w:rsidRPr="005A7A1C" w:rsidRDefault="005A7A1C" w:rsidP="00A94065">
            <w:pPr>
              <w:spacing w:before="40" w:after="40" w:line="240" w:lineRule="auto"/>
              <w:jc w:val="right"/>
              <w:rPr>
                <w:rFonts w:ascii="Calibri" w:eastAsia="Times New Roman" w:hAnsi="Calibri"/>
                <w:color w:val="000000"/>
                <w:sz w:val="22"/>
                <w:szCs w:val="22"/>
                <w:lang w:eastAsia="en-CA"/>
              </w:rPr>
            </w:pPr>
            <w:r w:rsidRPr="005A7A1C">
              <w:rPr>
                <w:rFonts w:ascii="Calibri" w:eastAsia="Times New Roman" w:hAnsi="Calibri"/>
                <w:color w:val="000000"/>
                <w:sz w:val="22"/>
                <w:szCs w:val="22"/>
                <w:lang w:eastAsia="en-CA"/>
              </w:rPr>
              <w:t>$1,000</w:t>
            </w:r>
          </w:p>
        </w:tc>
        <w:tc>
          <w:tcPr>
            <w:tcW w:w="1514" w:type="dxa"/>
            <w:tcBorders>
              <w:top w:val="nil"/>
              <w:left w:val="nil"/>
              <w:bottom w:val="single" w:sz="4" w:space="0" w:color="auto"/>
              <w:right w:val="single" w:sz="4" w:space="0" w:color="auto"/>
            </w:tcBorders>
            <w:shd w:val="clear" w:color="auto" w:fill="auto"/>
            <w:noWrap/>
            <w:vAlign w:val="bottom"/>
            <w:hideMark/>
          </w:tcPr>
          <w:p w:rsidR="005A7A1C" w:rsidRPr="005A7A1C" w:rsidRDefault="005A7A1C" w:rsidP="00A94065">
            <w:pPr>
              <w:spacing w:before="40" w:after="40" w:line="240" w:lineRule="auto"/>
              <w:rPr>
                <w:rFonts w:ascii="Calibri" w:eastAsia="Times New Roman" w:hAnsi="Calibri"/>
                <w:color w:val="000000"/>
                <w:sz w:val="22"/>
                <w:szCs w:val="22"/>
                <w:lang w:eastAsia="en-CA"/>
              </w:rPr>
            </w:pPr>
            <w:r w:rsidRPr="005A7A1C">
              <w:rPr>
                <w:rFonts w:ascii="Calibri" w:eastAsia="Times New Roman" w:hAnsi="Calibri"/>
                <w:color w:val="000000"/>
                <w:sz w:val="22"/>
                <w:szCs w:val="22"/>
                <w:lang w:eastAsia="en-CA"/>
              </w:rPr>
              <w:t xml:space="preserve">           16,000 </w:t>
            </w:r>
          </w:p>
        </w:tc>
        <w:tc>
          <w:tcPr>
            <w:tcW w:w="1345" w:type="dxa"/>
            <w:tcBorders>
              <w:top w:val="nil"/>
              <w:left w:val="nil"/>
              <w:bottom w:val="single" w:sz="4" w:space="0" w:color="auto"/>
              <w:right w:val="single" w:sz="8" w:space="0" w:color="auto"/>
            </w:tcBorders>
            <w:shd w:val="clear" w:color="auto" w:fill="auto"/>
            <w:noWrap/>
            <w:vAlign w:val="bottom"/>
            <w:hideMark/>
          </w:tcPr>
          <w:p w:rsidR="005A7A1C" w:rsidRPr="005A7A1C" w:rsidRDefault="005A7A1C" w:rsidP="00A94065">
            <w:pPr>
              <w:spacing w:before="40" w:after="40" w:line="240" w:lineRule="auto"/>
              <w:jc w:val="right"/>
              <w:rPr>
                <w:rFonts w:ascii="Calibri" w:eastAsia="Times New Roman" w:hAnsi="Calibri"/>
                <w:color w:val="000000"/>
                <w:sz w:val="22"/>
                <w:szCs w:val="22"/>
                <w:lang w:eastAsia="en-CA"/>
              </w:rPr>
            </w:pPr>
            <w:r w:rsidRPr="005A7A1C">
              <w:rPr>
                <w:rFonts w:ascii="Calibri" w:eastAsia="Times New Roman" w:hAnsi="Calibri"/>
                <w:color w:val="000000"/>
                <w:sz w:val="22"/>
                <w:szCs w:val="22"/>
                <w:lang w:eastAsia="en-CA"/>
              </w:rPr>
              <w:t>2019</w:t>
            </w:r>
          </w:p>
        </w:tc>
      </w:tr>
      <w:tr w:rsidR="005A7A1C" w:rsidRPr="005A7A1C" w:rsidTr="00A94065">
        <w:trPr>
          <w:trHeight w:val="170"/>
        </w:trPr>
        <w:tc>
          <w:tcPr>
            <w:tcW w:w="4566" w:type="dxa"/>
            <w:tcBorders>
              <w:top w:val="nil"/>
              <w:left w:val="single" w:sz="8" w:space="0" w:color="auto"/>
              <w:bottom w:val="single" w:sz="4" w:space="0" w:color="auto"/>
              <w:right w:val="single" w:sz="4" w:space="0" w:color="auto"/>
            </w:tcBorders>
            <w:shd w:val="clear" w:color="auto" w:fill="auto"/>
            <w:noWrap/>
            <w:vAlign w:val="bottom"/>
            <w:hideMark/>
          </w:tcPr>
          <w:p w:rsidR="005A7A1C" w:rsidRPr="005A7A1C" w:rsidRDefault="005A7A1C" w:rsidP="00A94065">
            <w:pPr>
              <w:spacing w:before="40" w:after="40" w:line="240" w:lineRule="auto"/>
              <w:rPr>
                <w:rFonts w:ascii="Calibri" w:eastAsia="Times New Roman" w:hAnsi="Calibri"/>
                <w:color w:val="000000"/>
                <w:sz w:val="22"/>
                <w:szCs w:val="22"/>
                <w:lang w:eastAsia="en-CA"/>
              </w:rPr>
            </w:pPr>
            <w:r w:rsidRPr="005A7A1C">
              <w:rPr>
                <w:rFonts w:ascii="Calibri" w:eastAsia="Times New Roman" w:hAnsi="Calibri"/>
                <w:color w:val="000000"/>
                <w:sz w:val="22"/>
                <w:szCs w:val="22"/>
                <w:lang w:eastAsia="en-CA"/>
              </w:rPr>
              <w:t>Package 5</w:t>
            </w:r>
            <w:r>
              <w:rPr>
                <w:rFonts w:ascii="Calibri" w:eastAsia="Times New Roman" w:hAnsi="Calibri"/>
                <w:color w:val="000000"/>
                <w:sz w:val="22"/>
                <w:szCs w:val="22"/>
                <w:lang w:eastAsia="en-CA"/>
              </w:rPr>
              <w:t xml:space="preserve"> (20 GW)</w:t>
            </w:r>
          </w:p>
        </w:tc>
        <w:tc>
          <w:tcPr>
            <w:tcW w:w="1322" w:type="dxa"/>
            <w:tcBorders>
              <w:top w:val="nil"/>
              <w:left w:val="nil"/>
              <w:bottom w:val="single" w:sz="4" w:space="0" w:color="auto"/>
              <w:right w:val="single" w:sz="4" w:space="0" w:color="auto"/>
            </w:tcBorders>
            <w:shd w:val="clear" w:color="auto" w:fill="auto"/>
            <w:noWrap/>
            <w:vAlign w:val="bottom"/>
            <w:hideMark/>
          </w:tcPr>
          <w:p w:rsidR="005A7A1C" w:rsidRPr="00A94065" w:rsidRDefault="005A7A1C" w:rsidP="00A94065">
            <w:pPr>
              <w:spacing w:before="40" w:after="40" w:line="240" w:lineRule="auto"/>
              <w:jc w:val="right"/>
              <w:rPr>
                <w:rFonts w:ascii="Calibri" w:eastAsia="Times New Roman" w:hAnsi="Calibri"/>
                <w:color w:val="000000"/>
                <w:sz w:val="22"/>
                <w:szCs w:val="22"/>
                <w:lang w:eastAsia="en-CA"/>
              </w:rPr>
            </w:pPr>
            <w:r w:rsidRPr="00A94065">
              <w:rPr>
                <w:rFonts w:ascii="Calibri" w:eastAsia="Times New Roman" w:hAnsi="Calibri"/>
                <w:color w:val="000000"/>
                <w:sz w:val="22"/>
                <w:szCs w:val="22"/>
                <w:lang w:eastAsia="en-CA"/>
              </w:rPr>
              <w:t>$1,000</w:t>
            </w:r>
          </w:p>
        </w:tc>
        <w:tc>
          <w:tcPr>
            <w:tcW w:w="1514" w:type="dxa"/>
            <w:tcBorders>
              <w:top w:val="nil"/>
              <w:left w:val="nil"/>
              <w:bottom w:val="single" w:sz="4" w:space="0" w:color="auto"/>
              <w:right w:val="single" w:sz="4" w:space="0" w:color="auto"/>
            </w:tcBorders>
            <w:shd w:val="clear" w:color="auto" w:fill="auto"/>
            <w:noWrap/>
            <w:vAlign w:val="bottom"/>
            <w:hideMark/>
          </w:tcPr>
          <w:p w:rsidR="005A7A1C" w:rsidRPr="005A7A1C" w:rsidRDefault="005A7A1C" w:rsidP="00A94065">
            <w:pPr>
              <w:spacing w:before="40" w:after="40" w:line="240" w:lineRule="auto"/>
              <w:rPr>
                <w:rFonts w:ascii="Calibri" w:eastAsia="Times New Roman" w:hAnsi="Calibri"/>
                <w:color w:val="000000"/>
                <w:sz w:val="22"/>
                <w:szCs w:val="22"/>
                <w:lang w:eastAsia="en-CA"/>
              </w:rPr>
            </w:pPr>
            <w:r w:rsidRPr="005A7A1C">
              <w:rPr>
                <w:rFonts w:ascii="Calibri" w:eastAsia="Times New Roman" w:hAnsi="Calibri"/>
                <w:color w:val="000000"/>
                <w:sz w:val="22"/>
                <w:szCs w:val="22"/>
                <w:lang w:eastAsia="en-CA"/>
              </w:rPr>
              <w:t xml:space="preserve">           20,000 </w:t>
            </w:r>
          </w:p>
        </w:tc>
        <w:tc>
          <w:tcPr>
            <w:tcW w:w="1345" w:type="dxa"/>
            <w:tcBorders>
              <w:top w:val="nil"/>
              <w:left w:val="nil"/>
              <w:bottom w:val="single" w:sz="4" w:space="0" w:color="auto"/>
              <w:right w:val="single" w:sz="8" w:space="0" w:color="auto"/>
            </w:tcBorders>
            <w:shd w:val="clear" w:color="auto" w:fill="auto"/>
            <w:noWrap/>
            <w:vAlign w:val="bottom"/>
            <w:hideMark/>
          </w:tcPr>
          <w:p w:rsidR="005A7A1C" w:rsidRPr="005A7A1C" w:rsidRDefault="005A7A1C" w:rsidP="00A94065">
            <w:pPr>
              <w:spacing w:before="40" w:after="40" w:line="240" w:lineRule="auto"/>
              <w:jc w:val="right"/>
              <w:rPr>
                <w:rFonts w:ascii="Calibri" w:eastAsia="Times New Roman" w:hAnsi="Calibri"/>
                <w:color w:val="000000"/>
                <w:sz w:val="22"/>
                <w:szCs w:val="22"/>
                <w:lang w:eastAsia="en-CA"/>
              </w:rPr>
            </w:pPr>
            <w:r w:rsidRPr="005A7A1C">
              <w:rPr>
                <w:rFonts w:ascii="Calibri" w:eastAsia="Times New Roman" w:hAnsi="Calibri"/>
                <w:color w:val="000000"/>
                <w:sz w:val="22"/>
                <w:szCs w:val="22"/>
                <w:lang w:eastAsia="en-CA"/>
              </w:rPr>
              <w:t>2020</w:t>
            </w:r>
          </w:p>
        </w:tc>
      </w:tr>
      <w:tr w:rsidR="005A7A1C" w:rsidRPr="00A94065" w:rsidTr="00A94065">
        <w:trPr>
          <w:trHeight w:val="62"/>
        </w:trPr>
        <w:tc>
          <w:tcPr>
            <w:tcW w:w="4566" w:type="dxa"/>
            <w:tcBorders>
              <w:top w:val="nil"/>
              <w:left w:val="single" w:sz="8" w:space="0" w:color="auto"/>
              <w:bottom w:val="single" w:sz="8" w:space="0" w:color="auto"/>
              <w:right w:val="single" w:sz="4" w:space="0" w:color="auto"/>
            </w:tcBorders>
            <w:shd w:val="clear" w:color="000000" w:fill="FFFF00"/>
            <w:noWrap/>
            <w:vAlign w:val="bottom"/>
            <w:hideMark/>
          </w:tcPr>
          <w:p w:rsidR="005A7A1C" w:rsidRPr="00A94065" w:rsidRDefault="005A7A1C" w:rsidP="00A94065">
            <w:pPr>
              <w:spacing w:before="40" w:after="40" w:line="240" w:lineRule="auto"/>
              <w:jc w:val="right"/>
              <w:rPr>
                <w:rFonts w:ascii="Calibri" w:eastAsia="Times New Roman" w:hAnsi="Calibri"/>
                <w:i/>
                <w:iCs/>
                <w:color w:val="000000"/>
                <w:sz w:val="24"/>
                <w:szCs w:val="24"/>
                <w:lang w:eastAsia="en-CA"/>
              </w:rPr>
            </w:pPr>
            <w:r w:rsidRPr="00A94065">
              <w:rPr>
                <w:rFonts w:ascii="Calibri" w:eastAsia="Times New Roman" w:hAnsi="Calibri"/>
                <w:i/>
                <w:iCs/>
                <w:color w:val="000000"/>
                <w:sz w:val="24"/>
                <w:szCs w:val="24"/>
                <w:lang w:eastAsia="en-CA"/>
              </w:rPr>
              <w:t>Sub-Total ($</w:t>
            </w:r>
            <w:r w:rsidR="00607C05" w:rsidRPr="00A94065">
              <w:rPr>
                <w:rFonts w:ascii="Calibri" w:eastAsia="Times New Roman" w:hAnsi="Calibri"/>
                <w:i/>
                <w:iCs/>
                <w:color w:val="000000"/>
                <w:sz w:val="24"/>
                <w:szCs w:val="24"/>
                <w:lang w:eastAsia="en-CA"/>
              </w:rPr>
              <w:t>USD</w:t>
            </w:r>
            <w:r w:rsidRPr="00A94065">
              <w:rPr>
                <w:rFonts w:ascii="Calibri" w:eastAsia="Times New Roman" w:hAnsi="Calibri"/>
                <w:i/>
                <w:iCs/>
                <w:color w:val="000000"/>
                <w:sz w:val="24"/>
                <w:szCs w:val="24"/>
                <w:lang w:eastAsia="en-CA"/>
              </w:rPr>
              <w:t xml:space="preserve"> Millions)</w:t>
            </w:r>
          </w:p>
        </w:tc>
        <w:tc>
          <w:tcPr>
            <w:tcW w:w="1322" w:type="dxa"/>
            <w:tcBorders>
              <w:top w:val="single" w:sz="4" w:space="0" w:color="auto"/>
              <w:left w:val="nil"/>
              <w:bottom w:val="single" w:sz="4" w:space="0" w:color="auto"/>
              <w:right w:val="single" w:sz="4" w:space="0" w:color="auto"/>
            </w:tcBorders>
            <w:shd w:val="clear" w:color="000000" w:fill="FFFF00"/>
            <w:noWrap/>
            <w:vAlign w:val="bottom"/>
            <w:hideMark/>
          </w:tcPr>
          <w:p w:rsidR="005A7A1C" w:rsidRPr="00A94065" w:rsidRDefault="005A7A1C" w:rsidP="00A94065">
            <w:pPr>
              <w:spacing w:before="40" w:after="40" w:line="240" w:lineRule="auto"/>
              <w:jc w:val="right"/>
              <w:rPr>
                <w:rFonts w:ascii="Calibri" w:eastAsia="Times New Roman" w:hAnsi="Calibri"/>
                <w:color w:val="000000"/>
                <w:sz w:val="24"/>
                <w:szCs w:val="24"/>
                <w:lang w:eastAsia="en-CA"/>
              </w:rPr>
            </w:pPr>
            <w:r w:rsidRPr="00A94065">
              <w:rPr>
                <w:rFonts w:ascii="Calibri" w:eastAsia="Times New Roman" w:hAnsi="Calibri"/>
                <w:color w:val="000000"/>
                <w:sz w:val="24"/>
                <w:szCs w:val="24"/>
                <w:lang w:eastAsia="en-CA"/>
              </w:rPr>
              <w:t>$3,570</w:t>
            </w:r>
          </w:p>
        </w:tc>
        <w:tc>
          <w:tcPr>
            <w:tcW w:w="1514" w:type="dxa"/>
            <w:tcBorders>
              <w:top w:val="single" w:sz="4" w:space="0" w:color="auto"/>
              <w:left w:val="nil"/>
              <w:bottom w:val="single" w:sz="4" w:space="0" w:color="auto"/>
              <w:right w:val="single" w:sz="4" w:space="0" w:color="auto"/>
            </w:tcBorders>
            <w:shd w:val="clear" w:color="000000" w:fill="FFFF00"/>
            <w:noWrap/>
            <w:vAlign w:val="bottom"/>
            <w:hideMark/>
          </w:tcPr>
          <w:p w:rsidR="005A7A1C" w:rsidRPr="00A94065" w:rsidRDefault="005A7A1C" w:rsidP="00A94065">
            <w:pPr>
              <w:spacing w:before="40" w:after="40" w:line="240" w:lineRule="auto"/>
              <w:rPr>
                <w:rFonts w:ascii="Calibri" w:eastAsia="Times New Roman" w:hAnsi="Calibri"/>
                <w:color w:val="000000"/>
                <w:sz w:val="22"/>
                <w:szCs w:val="22"/>
                <w:lang w:eastAsia="en-CA"/>
              </w:rPr>
            </w:pPr>
            <w:r w:rsidRPr="00A94065">
              <w:rPr>
                <w:rFonts w:ascii="Calibri" w:eastAsia="Times New Roman" w:hAnsi="Calibri"/>
                <w:color w:val="000000"/>
                <w:sz w:val="22"/>
                <w:szCs w:val="22"/>
                <w:lang w:eastAsia="en-CA"/>
              </w:rPr>
              <w:t> </w:t>
            </w:r>
          </w:p>
        </w:tc>
        <w:tc>
          <w:tcPr>
            <w:tcW w:w="1345" w:type="dxa"/>
            <w:tcBorders>
              <w:top w:val="single" w:sz="4" w:space="0" w:color="auto"/>
              <w:left w:val="nil"/>
              <w:bottom w:val="single" w:sz="4" w:space="0" w:color="auto"/>
              <w:right w:val="single" w:sz="8" w:space="0" w:color="auto"/>
            </w:tcBorders>
            <w:shd w:val="clear" w:color="000000" w:fill="FFFF00"/>
            <w:noWrap/>
            <w:vAlign w:val="bottom"/>
            <w:hideMark/>
          </w:tcPr>
          <w:p w:rsidR="005A7A1C" w:rsidRPr="00A94065" w:rsidRDefault="005A7A1C" w:rsidP="00A94065">
            <w:pPr>
              <w:spacing w:before="40" w:after="40" w:line="240" w:lineRule="auto"/>
              <w:rPr>
                <w:rFonts w:ascii="Calibri" w:eastAsia="Times New Roman" w:hAnsi="Calibri"/>
                <w:color w:val="000000"/>
                <w:sz w:val="22"/>
                <w:szCs w:val="22"/>
                <w:lang w:eastAsia="en-CA"/>
              </w:rPr>
            </w:pPr>
            <w:r w:rsidRPr="00A94065">
              <w:rPr>
                <w:rFonts w:ascii="Calibri" w:eastAsia="Times New Roman" w:hAnsi="Calibri"/>
                <w:color w:val="000000"/>
                <w:sz w:val="22"/>
                <w:szCs w:val="22"/>
                <w:lang w:eastAsia="en-CA"/>
              </w:rPr>
              <w:t> </w:t>
            </w:r>
          </w:p>
        </w:tc>
      </w:tr>
    </w:tbl>
    <w:p w:rsidR="003920CE" w:rsidRDefault="003920CE">
      <w:pPr>
        <w:spacing w:line="240" w:lineRule="auto"/>
        <w:rPr>
          <w:rFonts w:cs="Arial"/>
          <w:lang w:val="en-GB"/>
        </w:rPr>
      </w:pPr>
    </w:p>
    <w:p w:rsidR="003920CE" w:rsidRDefault="003920CE">
      <w:pPr>
        <w:spacing w:line="240" w:lineRule="auto"/>
        <w:rPr>
          <w:rFonts w:cs="Arial"/>
          <w:lang w:val="en-GB"/>
        </w:rPr>
      </w:pPr>
    </w:p>
    <w:p w:rsidR="00E43B51" w:rsidRDefault="00D12904" w:rsidP="00A71EAD">
      <w:pPr>
        <w:spacing w:line="240" w:lineRule="auto"/>
        <w:rPr>
          <w:rFonts w:cs="Arial"/>
          <w:lang w:val="en-GB"/>
        </w:rPr>
      </w:pPr>
      <w:r>
        <w:rPr>
          <w:rFonts w:cs="Arial"/>
          <w:lang w:val="en-GB"/>
        </w:rPr>
        <w:t>In summary, t</w:t>
      </w:r>
      <w:r w:rsidR="00A94065">
        <w:rPr>
          <w:rFonts w:cs="Arial"/>
          <w:lang w:val="en-GB"/>
        </w:rPr>
        <w:t xml:space="preserve">he </w:t>
      </w:r>
      <w:r w:rsidR="00E004BC">
        <w:rPr>
          <w:rFonts w:cs="Arial"/>
          <w:lang w:val="en-GB"/>
        </w:rPr>
        <w:t>total capital funding requirements to refurbish the existing system</w:t>
      </w:r>
      <w:r w:rsidR="003B4DAD">
        <w:rPr>
          <w:rFonts w:cs="Arial"/>
          <w:lang w:val="en-GB"/>
        </w:rPr>
        <w:t>, improve reliability and security,</w:t>
      </w:r>
      <w:r w:rsidR="00E004BC">
        <w:rPr>
          <w:rFonts w:cs="Arial"/>
          <w:lang w:val="en-GB"/>
        </w:rPr>
        <w:t xml:space="preserve"> and expand to 20 GW</w:t>
      </w:r>
      <w:r w:rsidR="00A94065">
        <w:rPr>
          <w:rFonts w:cs="Arial"/>
          <w:lang w:val="en-GB"/>
        </w:rPr>
        <w:t xml:space="preserve"> is estimated at $7.7 Billion USD</w:t>
      </w:r>
      <w:r w:rsidR="00E004BC">
        <w:rPr>
          <w:rFonts w:cs="Arial"/>
          <w:lang w:val="en-GB"/>
        </w:rPr>
        <w:t>.</w:t>
      </w:r>
      <w:r w:rsidR="00A94065">
        <w:rPr>
          <w:rFonts w:cs="Arial"/>
          <w:lang w:val="en-GB"/>
        </w:rPr>
        <w:t xml:space="preserve"> </w:t>
      </w:r>
    </w:p>
    <w:p w:rsidR="00E43B51" w:rsidRDefault="00E43B51" w:rsidP="00A71EAD">
      <w:pPr>
        <w:spacing w:line="240" w:lineRule="auto"/>
        <w:rPr>
          <w:rFonts w:cs="Arial"/>
          <w:lang w:val="en-GB"/>
        </w:rPr>
      </w:pPr>
    </w:p>
    <w:p w:rsidR="005E3A24" w:rsidRDefault="00CF05A0" w:rsidP="00A71EAD">
      <w:pPr>
        <w:spacing w:line="240" w:lineRule="auto"/>
        <w:rPr>
          <w:rFonts w:cs="Arial"/>
          <w:lang w:val="en-GB"/>
        </w:rPr>
      </w:pPr>
      <w:r>
        <w:rPr>
          <w:rFonts w:cs="Arial"/>
          <w:lang w:val="en-GB"/>
        </w:rPr>
        <w:fldChar w:fldCharType="begin"/>
      </w:r>
      <w:r w:rsidR="00E004BC">
        <w:rPr>
          <w:rFonts w:cs="Arial"/>
          <w:lang w:val="en-GB"/>
        </w:rPr>
        <w:instrText xml:space="preserve"> REF _Ref380571421 \h </w:instrText>
      </w:r>
      <w:r>
        <w:rPr>
          <w:rFonts w:cs="Arial"/>
          <w:lang w:val="en-GB"/>
        </w:rPr>
      </w:r>
      <w:r>
        <w:rPr>
          <w:rFonts w:cs="Arial"/>
          <w:lang w:val="en-GB"/>
        </w:rPr>
        <w:fldChar w:fldCharType="separate"/>
      </w:r>
      <w:r w:rsidR="0056026E">
        <w:t xml:space="preserve">Table </w:t>
      </w:r>
      <w:r w:rsidR="0056026E">
        <w:rPr>
          <w:noProof/>
        </w:rPr>
        <w:t>3</w:t>
      </w:r>
      <w:r w:rsidR="0056026E">
        <w:noBreakHyphen/>
      </w:r>
      <w:r w:rsidR="0056026E">
        <w:rPr>
          <w:noProof/>
        </w:rPr>
        <w:t>5</w:t>
      </w:r>
      <w:r>
        <w:rPr>
          <w:rFonts w:cs="Arial"/>
          <w:lang w:val="en-GB"/>
        </w:rPr>
        <w:fldChar w:fldCharType="end"/>
      </w:r>
      <w:r w:rsidR="00E004BC">
        <w:rPr>
          <w:rFonts w:cs="Arial"/>
          <w:lang w:val="en-GB"/>
        </w:rPr>
        <w:t xml:space="preserve"> shows the cash flow requirements </w:t>
      </w:r>
      <w:r w:rsidR="00D12904">
        <w:rPr>
          <w:rFonts w:cs="Arial"/>
          <w:lang w:val="en-GB"/>
        </w:rPr>
        <w:t>to achieve</w:t>
      </w:r>
      <w:r w:rsidR="00E004BC">
        <w:rPr>
          <w:rFonts w:cs="Arial"/>
          <w:lang w:val="en-GB"/>
        </w:rPr>
        <w:t xml:space="preserve"> the 20 GW build-out, b</w:t>
      </w:r>
      <w:r w:rsidR="005E3A24">
        <w:rPr>
          <w:rFonts w:cs="Arial"/>
          <w:lang w:val="en-GB"/>
        </w:rPr>
        <w:t>ased on a high level estimated construction schedule</w:t>
      </w:r>
      <w:r w:rsidR="00E004BC">
        <w:rPr>
          <w:rFonts w:cs="Arial"/>
          <w:lang w:val="en-GB"/>
        </w:rPr>
        <w:t xml:space="preserve">.  </w:t>
      </w:r>
      <w:r w:rsidR="00A71EAD" w:rsidRPr="00A71EAD">
        <w:rPr>
          <w:rFonts w:cs="Arial"/>
          <w:lang w:val="en-GB"/>
        </w:rPr>
        <w:t>The assumed disbursement profile of the investment plan is front loaded to open letters of credit covering 70% of project costs</w:t>
      </w:r>
      <w:r w:rsidR="00A71EAD">
        <w:rPr>
          <w:rFonts w:cs="Arial"/>
          <w:lang w:val="en-GB"/>
        </w:rPr>
        <w:t xml:space="preserve"> at the start of the construction contract.  </w:t>
      </w:r>
    </w:p>
    <w:p w:rsidR="005E3A24" w:rsidRDefault="005E3A24">
      <w:pPr>
        <w:spacing w:line="240" w:lineRule="auto"/>
        <w:rPr>
          <w:rFonts w:cs="Arial"/>
          <w:lang w:val="en-GB"/>
        </w:rPr>
      </w:pPr>
    </w:p>
    <w:p w:rsidR="00E004BC" w:rsidRDefault="00E004BC" w:rsidP="00E004BC">
      <w:pPr>
        <w:pStyle w:val="Caption"/>
      </w:pPr>
      <w:bookmarkStart w:id="17" w:name="_Ref380571421"/>
      <w:r>
        <w:lastRenderedPageBreak/>
        <w:t xml:space="preserve">Table </w:t>
      </w:r>
      <w:r w:rsidR="00CF05A0">
        <w:fldChar w:fldCharType="begin"/>
      </w:r>
      <w:r w:rsidR="006D7424">
        <w:instrText xml:space="preserve"> STYLEREF 1 \s </w:instrText>
      </w:r>
      <w:r w:rsidR="00CF05A0">
        <w:fldChar w:fldCharType="separate"/>
      </w:r>
      <w:r w:rsidR="0056026E">
        <w:rPr>
          <w:noProof/>
        </w:rPr>
        <w:t>3</w:t>
      </w:r>
      <w:r w:rsidR="00CF05A0">
        <w:rPr>
          <w:noProof/>
        </w:rPr>
        <w:fldChar w:fldCharType="end"/>
      </w:r>
      <w:r w:rsidR="00B2235A">
        <w:noBreakHyphen/>
      </w:r>
      <w:r w:rsidR="00CF05A0">
        <w:fldChar w:fldCharType="begin"/>
      </w:r>
      <w:r w:rsidR="006D7424">
        <w:instrText xml:space="preserve"> SEQ Table \* ARABIC \s 1 </w:instrText>
      </w:r>
      <w:r w:rsidR="00CF05A0">
        <w:fldChar w:fldCharType="separate"/>
      </w:r>
      <w:r w:rsidR="0056026E">
        <w:rPr>
          <w:noProof/>
        </w:rPr>
        <w:t>5</w:t>
      </w:r>
      <w:r w:rsidR="00CF05A0">
        <w:rPr>
          <w:noProof/>
        </w:rPr>
        <w:fldChar w:fldCharType="end"/>
      </w:r>
      <w:bookmarkEnd w:id="17"/>
      <w:r>
        <w:t xml:space="preserve">: </w:t>
      </w:r>
      <w:r w:rsidRPr="00E004BC">
        <w:t>Capital Cash Flow Requirement (2014 – 2020) for the 20 GW Plan (M$ USD)</w:t>
      </w:r>
    </w:p>
    <w:tbl>
      <w:tblPr>
        <w:tblW w:w="9513" w:type="dxa"/>
        <w:tblInd w:w="93" w:type="dxa"/>
        <w:tblLook w:val="04A0"/>
      </w:tblPr>
      <w:tblGrid>
        <w:gridCol w:w="2843"/>
        <w:gridCol w:w="831"/>
        <w:gridCol w:w="831"/>
        <w:gridCol w:w="831"/>
        <w:gridCol w:w="831"/>
        <w:gridCol w:w="831"/>
        <w:gridCol w:w="787"/>
        <w:gridCol w:w="787"/>
        <w:gridCol w:w="941"/>
      </w:tblGrid>
      <w:tr w:rsidR="00970A19" w:rsidRPr="000019A8" w:rsidTr="000019A8">
        <w:trPr>
          <w:trHeight w:val="660"/>
        </w:trPr>
        <w:tc>
          <w:tcPr>
            <w:tcW w:w="2843" w:type="dxa"/>
            <w:tcBorders>
              <w:top w:val="single" w:sz="12" w:space="0" w:color="auto"/>
              <w:left w:val="single" w:sz="12" w:space="0" w:color="auto"/>
              <w:bottom w:val="single" w:sz="8" w:space="0" w:color="auto"/>
              <w:right w:val="single" w:sz="4" w:space="0" w:color="auto"/>
            </w:tcBorders>
            <w:shd w:val="clear" w:color="000000" w:fill="EEECE1" w:themeFill="background2"/>
            <w:vAlign w:val="center"/>
            <w:hideMark/>
          </w:tcPr>
          <w:p w:rsidR="00970A19" w:rsidRPr="000019A8" w:rsidRDefault="00970A19" w:rsidP="00A94065">
            <w:pPr>
              <w:keepNext/>
              <w:spacing w:line="240" w:lineRule="auto"/>
              <w:rPr>
                <w:rFonts w:ascii="Calibri" w:eastAsia="Times New Roman" w:hAnsi="Calibri"/>
                <w:b/>
                <w:bCs/>
                <w:color w:val="000000"/>
                <w:sz w:val="22"/>
                <w:szCs w:val="22"/>
                <w:lang w:eastAsia="en-CA"/>
              </w:rPr>
            </w:pPr>
            <w:r w:rsidRPr="000019A8">
              <w:rPr>
                <w:rFonts w:ascii="Calibri" w:eastAsia="Times New Roman" w:hAnsi="Calibri"/>
                <w:b/>
                <w:bCs/>
                <w:color w:val="000000"/>
                <w:sz w:val="22"/>
                <w:szCs w:val="22"/>
                <w:lang w:eastAsia="en-CA"/>
              </w:rPr>
              <w:t>Capital Cash Flow Requirement</w:t>
            </w:r>
          </w:p>
        </w:tc>
        <w:tc>
          <w:tcPr>
            <w:tcW w:w="831" w:type="dxa"/>
            <w:tcBorders>
              <w:top w:val="single" w:sz="12" w:space="0" w:color="auto"/>
              <w:left w:val="nil"/>
              <w:bottom w:val="single" w:sz="8" w:space="0" w:color="auto"/>
              <w:right w:val="single" w:sz="4" w:space="0" w:color="auto"/>
            </w:tcBorders>
            <w:shd w:val="clear" w:color="000000" w:fill="EEECE1" w:themeFill="background2"/>
            <w:vAlign w:val="center"/>
            <w:hideMark/>
          </w:tcPr>
          <w:p w:rsidR="00970A19" w:rsidRPr="000019A8" w:rsidRDefault="00970A19" w:rsidP="00A94065">
            <w:pPr>
              <w:keepNext/>
              <w:spacing w:line="240" w:lineRule="auto"/>
              <w:jc w:val="right"/>
              <w:rPr>
                <w:rFonts w:ascii="Calibri" w:eastAsia="Times New Roman" w:hAnsi="Calibri"/>
                <w:b/>
                <w:bCs/>
                <w:color w:val="000000"/>
                <w:sz w:val="22"/>
                <w:szCs w:val="22"/>
                <w:lang w:eastAsia="en-CA"/>
              </w:rPr>
            </w:pPr>
            <w:r w:rsidRPr="000019A8">
              <w:rPr>
                <w:rFonts w:ascii="Calibri" w:eastAsia="Times New Roman" w:hAnsi="Calibri"/>
                <w:b/>
                <w:bCs/>
                <w:color w:val="000000"/>
                <w:sz w:val="22"/>
                <w:szCs w:val="22"/>
                <w:lang w:eastAsia="en-CA"/>
              </w:rPr>
              <w:t>2014</w:t>
            </w:r>
          </w:p>
        </w:tc>
        <w:tc>
          <w:tcPr>
            <w:tcW w:w="831" w:type="dxa"/>
            <w:tcBorders>
              <w:top w:val="single" w:sz="12" w:space="0" w:color="auto"/>
              <w:left w:val="nil"/>
              <w:bottom w:val="single" w:sz="8" w:space="0" w:color="auto"/>
              <w:right w:val="single" w:sz="4" w:space="0" w:color="auto"/>
            </w:tcBorders>
            <w:shd w:val="clear" w:color="000000" w:fill="EEECE1" w:themeFill="background2"/>
            <w:vAlign w:val="center"/>
            <w:hideMark/>
          </w:tcPr>
          <w:p w:rsidR="00970A19" w:rsidRPr="000019A8" w:rsidRDefault="00970A19" w:rsidP="00A94065">
            <w:pPr>
              <w:keepNext/>
              <w:spacing w:line="240" w:lineRule="auto"/>
              <w:jc w:val="right"/>
              <w:rPr>
                <w:rFonts w:ascii="Calibri" w:eastAsia="Times New Roman" w:hAnsi="Calibri"/>
                <w:b/>
                <w:bCs/>
                <w:color w:val="000000"/>
                <w:sz w:val="22"/>
                <w:szCs w:val="22"/>
                <w:lang w:eastAsia="en-CA"/>
              </w:rPr>
            </w:pPr>
            <w:r w:rsidRPr="000019A8">
              <w:rPr>
                <w:rFonts w:ascii="Calibri" w:eastAsia="Times New Roman" w:hAnsi="Calibri"/>
                <w:b/>
                <w:bCs/>
                <w:color w:val="000000"/>
                <w:sz w:val="22"/>
                <w:szCs w:val="22"/>
                <w:lang w:eastAsia="en-CA"/>
              </w:rPr>
              <w:t>2015</w:t>
            </w:r>
          </w:p>
        </w:tc>
        <w:tc>
          <w:tcPr>
            <w:tcW w:w="831" w:type="dxa"/>
            <w:tcBorders>
              <w:top w:val="single" w:sz="12" w:space="0" w:color="auto"/>
              <w:left w:val="nil"/>
              <w:bottom w:val="single" w:sz="8" w:space="0" w:color="auto"/>
              <w:right w:val="single" w:sz="4" w:space="0" w:color="auto"/>
            </w:tcBorders>
            <w:shd w:val="clear" w:color="000000" w:fill="EEECE1" w:themeFill="background2"/>
            <w:vAlign w:val="center"/>
            <w:hideMark/>
          </w:tcPr>
          <w:p w:rsidR="00970A19" w:rsidRPr="000019A8" w:rsidRDefault="00970A19" w:rsidP="00A94065">
            <w:pPr>
              <w:keepNext/>
              <w:spacing w:line="240" w:lineRule="auto"/>
              <w:jc w:val="right"/>
              <w:rPr>
                <w:rFonts w:ascii="Calibri" w:eastAsia="Times New Roman" w:hAnsi="Calibri"/>
                <w:b/>
                <w:bCs/>
                <w:color w:val="000000"/>
                <w:sz w:val="22"/>
                <w:szCs w:val="22"/>
                <w:lang w:eastAsia="en-CA"/>
              </w:rPr>
            </w:pPr>
            <w:r w:rsidRPr="000019A8">
              <w:rPr>
                <w:rFonts w:ascii="Calibri" w:eastAsia="Times New Roman" w:hAnsi="Calibri"/>
                <w:b/>
                <w:bCs/>
                <w:color w:val="000000"/>
                <w:sz w:val="22"/>
                <w:szCs w:val="22"/>
                <w:lang w:eastAsia="en-CA"/>
              </w:rPr>
              <w:t>2016</w:t>
            </w:r>
          </w:p>
        </w:tc>
        <w:tc>
          <w:tcPr>
            <w:tcW w:w="831" w:type="dxa"/>
            <w:tcBorders>
              <w:top w:val="single" w:sz="12" w:space="0" w:color="auto"/>
              <w:left w:val="nil"/>
              <w:bottom w:val="single" w:sz="8" w:space="0" w:color="auto"/>
              <w:right w:val="single" w:sz="4" w:space="0" w:color="auto"/>
            </w:tcBorders>
            <w:shd w:val="clear" w:color="000000" w:fill="EEECE1" w:themeFill="background2"/>
            <w:vAlign w:val="center"/>
            <w:hideMark/>
          </w:tcPr>
          <w:p w:rsidR="00970A19" w:rsidRPr="000019A8" w:rsidRDefault="00970A19" w:rsidP="00A94065">
            <w:pPr>
              <w:keepNext/>
              <w:spacing w:line="240" w:lineRule="auto"/>
              <w:jc w:val="right"/>
              <w:rPr>
                <w:rFonts w:ascii="Calibri" w:eastAsia="Times New Roman" w:hAnsi="Calibri"/>
                <w:b/>
                <w:bCs/>
                <w:color w:val="000000"/>
                <w:sz w:val="22"/>
                <w:szCs w:val="22"/>
                <w:lang w:eastAsia="en-CA"/>
              </w:rPr>
            </w:pPr>
            <w:r w:rsidRPr="000019A8">
              <w:rPr>
                <w:rFonts w:ascii="Calibri" w:eastAsia="Times New Roman" w:hAnsi="Calibri"/>
                <w:b/>
                <w:bCs/>
                <w:color w:val="000000"/>
                <w:sz w:val="22"/>
                <w:szCs w:val="22"/>
                <w:lang w:eastAsia="en-CA"/>
              </w:rPr>
              <w:t>2017</w:t>
            </w:r>
          </w:p>
        </w:tc>
        <w:tc>
          <w:tcPr>
            <w:tcW w:w="831" w:type="dxa"/>
            <w:tcBorders>
              <w:top w:val="single" w:sz="12" w:space="0" w:color="auto"/>
              <w:left w:val="nil"/>
              <w:bottom w:val="single" w:sz="8" w:space="0" w:color="auto"/>
              <w:right w:val="single" w:sz="4" w:space="0" w:color="auto"/>
            </w:tcBorders>
            <w:shd w:val="clear" w:color="000000" w:fill="EEECE1" w:themeFill="background2"/>
            <w:vAlign w:val="center"/>
            <w:hideMark/>
          </w:tcPr>
          <w:p w:rsidR="00970A19" w:rsidRPr="000019A8" w:rsidRDefault="00970A19" w:rsidP="00A94065">
            <w:pPr>
              <w:keepNext/>
              <w:spacing w:line="240" w:lineRule="auto"/>
              <w:jc w:val="right"/>
              <w:rPr>
                <w:rFonts w:ascii="Calibri" w:eastAsia="Times New Roman" w:hAnsi="Calibri"/>
                <w:b/>
                <w:bCs/>
                <w:color w:val="000000"/>
                <w:sz w:val="22"/>
                <w:szCs w:val="22"/>
                <w:lang w:eastAsia="en-CA"/>
              </w:rPr>
            </w:pPr>
            <w:r w:rsidRPr="000019A8">
              <w:rPr>
                <w:rFonts w:ascii="Calibri" w:eastAsia="Times New Roman" w:hAnsi="Calibri"/>
                <w:b/>
                <w:bCs/>
                <w:color w:val="000000"/>
                <w:sz w:val="22"/>
                <w:szCs w:val="22"/>
                <w:lang w:eastAsia="en-CA"/>
              </w:rPr>
              <w:t>2018</w:t>
            </w:r>
          </w:p>
        </w:tc>
        <w:tc>
          <w:tcPr>
            <w:tcW w:w="787" w:type="dxa"/>
            <w:tcBorders>
              <w:top w:val="single" w:sz="12" w:space="0" w:color="auto"/>
              <w:left w:val="nil"/>
              <w:bottom w:val="single" w:sz="8" w:space="0" w:color="auto"/>
              <w:right w:val="single" w:sz="4" w:space="0" w:color="auto"/>
            </w:tcBorders>
            <w:shd w:val="clear" w:color="000000" w:fill="EEECE1" w:themeFill="background2"/>
            <w:vAlign w:val="center"/>
            <w:hideMark/>
          </w:tcPr>
          <w:p w:rsidR="00970A19" w:rsidRPr="000019A8" w:rsidRDefault="00970A19" w:rsidP="00A94065">
            <w:pPr>
              <w:keepNext/>
              <w:spacing w:line="240" w:lineRule="auto"/>
              <w:jc w:val="right"/>
              <w:rPr>
                <w:rFonts w:ascii="Calibri" w:eastAsia="Times New Roman" w:hAnsi="Calibri"/>
                <w:b/>
                <w:bCs/>
                <w:color w:val="000000"/>
                <w:sz w:val="22"/>
                <w:szCs w:val="22"/>
                <w:lang w:eastAsia="en-CA"/>
              </w:rPr>
            </w:pPr>
            <w:r w:rsidRPr="000019A8">
              <w:rPr>
                <w:rFonts w:ascii="Calibri" w:eastAsia="Times New Roman" w:hAnsi="Calibri"/>
                <w:b/>
                <w:bCs/>
                <w:color w:val="000000"/>
                <w:sz w:val="22"/>
                <w:szCs w:val="22"/>
                <w:lang w:eastAsia="en-CA"/>
              </w:rPr>
              <w:t>2019</w:t>
            </w:r>
          </w:p>
        </w:tc>
        <w:tc>
          <w:tcPr>
            <w:tcW w:w="787" w:type="dxa"/>
            <w:tcBorders>
              <w:top w:val="single" w:sz="12" w:space="0" w:color="auto"/>
              <w:left w:val="nil"/>
              <w:bottom w:val="single" w:sz="8" w:space="0" w:color="auto"/>
              <w:right w:val="single" w:sz="4" w:space="0" w:color="auto"/>
            </w:tcBorders>
            <w:shd w:val="clear" w:color="000000" w:fill="EEECE1" w:themeFill="background2"/>
            <w:vAlign w:val="center"/>
            <w:hideMark/>
          </w:tcPr>
          <w:p w:rsidR="00970A19" w:rsidRPr="000019A8" w:rsidRDefault="00970A19" w:rsidP="00A94065">
            <w:pPr>
              <w:keepNext/>
              <w:spacing w:line="240" w:lineRule="auto"/>
              <w:jc w:val="right"/>
              <w:rPr>
                <w:rFonts w:ascii="Calibri" w:eastAsia="Times New Roman" w:hAnsi="Calibri"/>
                <w:b/>
                <w:bCs/>
                <w:color w:val="000000"/>
                <w:sz w:val="22"/>
                <w:szCs w:val="22"/>
                <w:lang w:eastAsia="en-CA"/>
              </w:rPr>
            </w:pPr>
            <w:r w:rsidRPr="000019A8">
              <w:rPr>
                <w:rFonts w:ascii="Calibri" w:eastAsia="Times New Roman" w:hAnsi="Calibri"/>
                <w:b/>
                <w:bCs/>
                <w:color w:val="000000"/>
                <w:sz w:val="22"/>
                <w:szCs w:val="22"/>
                <w:lang w:eastAsia="en-CA"/>
              </w:rPr>
              <w:t>2020</w:t>
            </w:r>
          </w:p>
        </w:tc>
        <w:tc>
          <w:tcPr>
            <w:tcW w:w="941" w:type="dxa"/>
            <w:tcBorders>
              <w:top w:val="single" w:sz="12" w:space="0" w:color="auto"/>
              <w:left w:val="nil"/>
              <w:bottom w:val="single" w:sz="8" w:space="0" w:color="auto"/>
              <w:right w:val="single" w:sz="12" w:space="0" w:color="auto"/>
            </w:tcBorders>
            <w:shd w:val="clear" w:color="000000" w:fill="EEECE1" w:themeFill="background2"/>
            <w:vAlign w:val="center"/>
            <w:hideMark/>
          </w:tcPr>
          <w:p w:rsidR="00970A19" w:rsidRPr="000019A8" w:rsidRDefault="00970A19" w:rsidP="00A94065">
            <w:pPr>
              <w:keepNext/>
              <w:spacing w:line="240" w:lineRule="auto"/>
              <w:jc w:val="center"/>
              <w:rPr>
                <w:rFonts w:ascii="Calibri" w:eastAsia="Times New Roman" w:hAnsi="Calibri"/>
                <w:b/>
                <w:bCs/>
                <w:color w:val="000000"/>
                <w:sz w:val="22"/>
                <w:szCs w:val="22"/>
                <w:lang w:eastAsia="en-CA"/>
              </w:rPr>
            </w:pPr>
            <w:r w:rsidRPr="000019A8">
              <w:rPr>
                <w:rFonts w:ascii="Calibri" w:eastAsia="Times New Roman" w:hAnsi="Calibri"/>
                <w:b/>
                <w:bCs/>
                <w:color w:val="000000"/>
                <w:sz w:val="22"/>
                <w:szCs w:val="22"/>
                <w:lang w:eastAsia="en-CA"/>
              </w:rPr>
              <w:t>Totals</w:t>
            </w:r>
          </w:p>
        </w:tc>
      </w:tr>
      <w:tr w:rsidR="00970A19" w:rsidRPr="00970A19" w:rsidTr="00012A94">
        <w:trPr>
          <w:trHeight w:val="399"/>
        </w:trPr>
        <w:tc>
          <w:tcPr>
            <w:tcW w:w="2843" w:type="dxa"/>
            <w:tcBorders>
              <w:top w:val="nil"/>
              <w:left w:val="single" w:sz="12" w:space="0" w:color="auto"/>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Capital Refurbishment</w:t>
            </w: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jc w:val="right"/>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$568</w:t>
            </w: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jc w:val="right"/>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$237</w:t>
            </w: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jc w:val="right"/>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$47</w:t>
            </w: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jc w:val="right"/>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$47</w:t>
            </w: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jc w:val="right"/>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$47</w:t>
            </w:r>
          </w:p>
        </w:tc>
        <w:tc>
          <w:tcPr>
            <w:tcW w:w="787"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 </w:t>
            </w:r>
          </w:p>
        </w:tc>
        <w:tc>
          <w:tcPr>
            <w:tcW w:w="787"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 </w:t>
            </w:r>
          </w:p>
        </w:tc>
        <w:tc>
          <w:tcPr>
            <w:tcW w:w="941" w:type="dxa"/>
            <w:tcBorders>
              <w:top w:val="nil"/>
              <w:left w:val="nil"/>
              <w:bottom w:val="single" w:sz="4" w:space="0" w:color="auto"/>
              <w:right w:val="single" w:sz="12" w:space="0" w:color="auto"/>
            </w:tcBorders>
            <w:shd w:val="clear" w:color="auto" w:fill="auto"/>
            <w:vAlign w:val="bottom"/>
            <w:hideMark/>
          </w:tcPr>
          <w:p w:rsidR="00970A19" w:rsidRPr="00970A19" w:rsidRDefault="00970A19" w:rsidP="00016A09">
            <w:pPr>
              <w:keepNext/>
              <w:spacing w:beforeLines="20" w:afterLines="20" w:line="240" w:lineRule="auto"/>
              <w:jc w:val="right"/>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$947</w:t>
            </w:r>
          </w:p>
        </w:tc>
      </w:tr>
      <w:tr w:rsidR="00970A19" w:rsidRPr="00970A19" w:rsidTr="00012A94">
        <w:trPr>
          <w:trHeight w:val="399"/>
        </w:trPr>
        <w:tc>
          <w:tcPr>
            <w:tcW w:w="2843" w:type="dxa"/>
            <w:tcBorders>
              <w:top w:val="nil"/>
              <w:left w:val="single" w:sz="12" w:space="0" w:color="auto"/>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TSP Feeder Verification Meters</w:t>
            </w: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jc w:val="right"/>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$1</w:t>
            </w: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jc w:val="right"/>
              <w:rPr>
                <w:rFonts w:ascii="Calibri" w:eastAsia="Times New Roman" w:hAnsi="Calibri"/>
                <w:color w:val="000000"/>
                <w:sz w:val="22"/>
                <w:szCs w:val="22"/>
                <w:lang w:eastAsia="en-CA"/>
              </w:rPr>
            </w:pP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jc w:val="right"/>
              <w:rPr>
                <w:rFonts w:ascii="Calibri" w:eastAsia="Times New Roman" w:hAnsi="Calibri"/>
                <w:color w:val="000000"/>
                <w:sz w:val="22"/>
                <w:szCs w:val="22"/>
                <w:lang w:eastAsia="en-CA"/>
              </w:rPr>
            </w:pP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jc w:val="right"/>
              <w:rPr>
                <w:rFonts w:ascii="Calibri" w:eastAsia="Times New Roman" w:hAnsi="Calibri"/>
                <w:color w:val="000000"/>
                <w:sz w:val="22"/>
                <w:szCs w:val="22"/>
                <w:lang w:eastAsia="en-CA"/>
              </w:rPr>
            </w:pP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jc w:val="right"/>
              <w:rPr>
                <w:rFonts w:ascii="Calibri" w:eastAsia="Times New Roman" w:hAnsi="Calibri"/>
                <w:color w:val="000000"/>
                <w:sz w:val="22"/>
                <w:szCs w:val="22"/>
                <w:lang w:eastAsia="en-CA"/>
              </w:rPr>
            </w:pPr>
          </w:p>
        </w:tc>
        <w:tc>
          <w:tcPr>
            <w:tcW w:w="787"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 </w:t>
            </w:r>
          </w:p>
        </w:tc>
        <w:tc>
          <w:tcPr>
            <w:tcW w:w="787"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 </w:t>
            </w:r>
          </w:p>
        </w:tc>
        <w:tc>
          <w:tcPr>
            <w:tcW w:w="941" w:type="dxa"/>
            <w:tcBorders>
              <w:top w:val="nil"/>
              <w:left w:val="nil"/>
              <w:bottom w:val="single" w:sz="4" w:space="0" w:color="auto"/>
              <w:right w:val="single" w:sz="12" w:space="0" w:color="auto"/>
            </w:tcBorders>
            <w:shd w:val="clear" w:color="auto" w:fill="auto"/>
            <w:vAlign w:val="bottom"/>
            <w:hideMark/>
          </w:tcPr>
          <w:p w:rsidR="00970A19" w:rsidRPr="00970A19" w:rsidRDefault="00970A19" w:rsidP="00016A09">
            <w:pPr>
              <w:keepNext/>
              <w:spacing w:beforeLines="20" w:afterLines="20" w:line="240" w:lineRule="auto"/>
              <w:jc w:val="right"/>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$1</w:t>
            </w:r>
          </w:p>
        </w:tc>
      </w:tr>
      <w:tr w:rsidR="00970A19" w:rsidRPr="00970A19" w:rsidTr="00012A94">
        <w:trPr>
          <w:trHeight w:val="540"/>
        </w:trPr>
        <w:tc>
          <w:tcPr>
            <w:tcW w:w="2843" w:type="dxa"/>
            <w:tcBorders>
              <w:top w:val="nil"/>
              <w:left w:val="single" w:sz="12" w:space="0" w:color="auto"/>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Package 1 - Projects under Construction</w:t>
            </w: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jc w:val="right"/>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$495</w:t>
            </w: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jc w:val="right"/>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$495</w:t>
            </w: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 </w:t>
            </w: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 </w:t>
            </w: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 </w:t>
            </w:r>
          </w:p>
        </w:tc>
        <w:tc>
          <w:tcPr>
            <w:tcW w:w="787"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 </w:t>
            </w:r>
          </w:p>
        </w:tc>
        <w:tc>
          <w:tcPr>
            <w:tcW w:w="787"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 </w:t>
            </w:r>
          </w:p>
        </w:tc>
        <w:tc>
          <w:tcPr>
            <w:tcW w:w="941" w:type="dxa"/>
            <w:tcBorders>
              <w:top w:val="nil"/>
              <w:left w:val="nil"/>
              <w:bottom w:val="single" w:sz="4" w:space="0" w:color="auto"/>
              <w:right w:val="single" w:sz="12" w:space="0" w:color="auto"/>
            </w:tcBorders>
            <w:shd w:val="clear" w:color="auto" w:fill="auto"/>
            <w:vAlign w:val="bottom"/>
            <w:hideMark/>
          </w:tcPr>
          <w:p w:rsidR="00970A19" w:rsidRPr="00970A19" w:rsidRDefault="00970A19" w:rsidP="00016A09">
            <w:pPr>
              <w:keepNext/>
              <w:spacing w:beforeLines="20" w:afterLines="20" w:line="240" w:lineRule="auto"/>
              <w:jc w:val="right"/>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$989</w:t>
            </w:r>
          </w:p>
        </w:tc>
      </w:tr>
      <w:tr w:rsidR="00970A19" w:rsidRPr="00970A19" w:rsidTr="00012A94">
        <w:trPr>
          <w:trHeight w:val="399"/>
        </w:trPr>
        <w:tc>
          <w:tcPr>
            <w:tcW w:w="2843" w:type="dxa"/>
            <w:tcBorders>
              <w:top w:val="nil"/>
              <w:left w:val="single" w:sz="12" w:space="0" w:color="auto"/>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Package 2 - 10 GW system</w:t>
            </w: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 </w:t>
            </w: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jc w:val="right"/>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$1,565</w:t>
            </w: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jc w:val="right"/>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$335</w:t>
            </w: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jc w:val="right"/>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$335</w:t>
            </w: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 </w:t>
            </w:r>
          </w:p>
        </w:tc>
        <w:tc>
          <w:tcPr>
            <w:tcW w:w="787"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 </w:t>
            </w:r>
          </w:p>
        </w:tc>
        <w:tc>
          <w:tcPr>
            <w:tcW w:w="787"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 </w:t>
            </w:r>
          </w:p>
        </w:tc>
        <w:tc>
          <w:tcPr>
            <w:tcW w:w="941" w:type="dxa"/>
            <w:tcBorders>
              <w:top w:val="nil"/>
              <w:left w:val="nil"/>
              <w:bottom w:val="single" w:sz="4" w:space="0" w:color="auto"/>
              <w:right w:val="single" w:sz="12" w:space="0" w:color="auto"/>
            </w:tcBorders>
            <w:shd w:val="clear" w:color="auto" w:fill="auto"/>
            <w:vAlign w:val="bottom"/>
            <w:hideMark/>
          </w:tcPr>
          <w:p w:rsidR="00970A19" w:rsidRPr="00970A19" w:rsidRDefault="00970A19" w:rsidP="00016A09">
            <w:pPr>
              <w:keepNext/>
              <w:spacing w:beforeLines="20" w:afterLines="20" w:line="240" w:lineRule="auto"/>
              <w:jc w:val="right"/>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$2,235</w:t>
            </w:r>
          </w:p>
        </w:tc>
      </w:tr>
      <w:tr w:rsidR="00970A19" w:rsidRPr="00970A19" w:rsidTr="00012A94">
        <w:trPr>
          <w:trHeight w:val="399"/>
        </w:trPr>
        <w:tc>
          <w:tcPr>
            <w:tcW w:w="2843" w:type="dxa"/>
            <w:tcBorders>
              <w:top w:val="single" w:sz="4" w:space="0" w:color="auto"/>
              <w:left w:val="single" w:sz="12" w:space="0" w:color="auto"/>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Package 3 - 13 GW</w:t>
            </w: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 </w:t>
            </w: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 </w:t>
            </w: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jc w:val="right"/>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$1,099</w:t>
            </w: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jc w:val="right"/>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$236</w:t>
            </w: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jc w:val="right"/>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$236</w:t>
            </w:r>
          </w:p>
        </w:tc>
        <w:tc>
          <w:tcPr>
            <w:tcW w:w="787"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 </w:t>
            </w:r>
          </w:p>
        </w:tc>
        <w:tc>
          <w:tcPr>
            <w:tcW w:w="787"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 </w:t>
            </w:r>
          </w:p>
        </w:tc>
        <w:tc>
          <w:tcPr>
            <w:tcW w:w="941" w:type="dxa"/>
            <w:tcBorders>
              <w:top w:val="nil"/>
              <w:left w:val="nil"/>
              <w:bottom w:val="single" w:sz="4" w:space="0" w:color="auto"/>
              <w:right w:val="single" w:sz="12" w:space="0" w:color="auto"/>
            </w:tcBorders>
            <w:shd w:val="clear" w:color="auto" w:fill="auto"/>
            <w:vAlign w:val="bottom"/>
            <w:hideMark/>
          </w:tcPr>
          <w:p w:rsidR="00970A19" w:rsidRPr="00970A19" w:rsidRDefault="00970A19" w:rsidP="00016A09">
            <w:pPr>
              <w:keepNext/>
              <w:spacing w:beforeLines="20" w:afterLines="20" w:line="240" w:lineRule="auto"/>
              <w:jc w:val="right"/>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$1,570</w:t>
            </w:r>
          </w:p>
        </w:tc>
      </w:tr>
      <w:tr w:rsidR="00970A19" w:rsidRPr="00970A19" w:rsidTr="00012A94">
        <w:trPr>
          <w:trHeight w:val="399"/>
        </w:trPr>
        <w:tc>
          <w:tcPr>
            <w:tcW w:w="2843" w:type="dxa"/>
            <w:tcBorders>
              <w:top w:val="single" w:sz="4" w:space="0" w:color="auto"/>
              <w:left w:val="single" w:sz="12" w:space="0" w:color="auto"/>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Package 4 - 16 GW</w:t>
            </w: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 </w:t>
            </w: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 </w:t>
            </w: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 </w:t>
            </w: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jc w:val="right"/>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$700</w:t>
            </w: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jc w:val="right"/>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$150</w:t>
            </w:r>
          </w:p>
        </w:tc>
        <w:tc>
          <w:tcPr>
            <w:tcW w:w="787"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jc w:val="right"/>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$150</w:t>
            </w:r>
          </w:p>
        </w:tc>
        <w:tc>
          <w:tcPr>
            <w:tcW w:w="787"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 </w:t>
            </w:r>
          </w:p>
        </w:tc>
        <w:tc>
          <w:tcPr>
            <w:tcW w:w="941" w:type="dxa"/>
            <w:tcBorders>
              <w:top w:val="nil"/>
              <w:left w:val="nil"/>
              <w:bottom w:val="single" w:sz="4" w:space="0" w:color="auto"/>
              <w:right w:val="single" w:sz="12" w:space="0" w:color="auto"/>
            </w:tcBorders>
            <w:shd w:val="clear" w:color="auto" w:fill="auto"/>
            <w:vAlign w:val="bottom"/>
            <w:hideMark/>
          </w:tcPr>
          <w:p w:rsidR="00970A19" w:rsidRPr="00970A19" w:rsidRDefault="00970A19" w:rsidP="00016A09">
            <w:pPr>
              <w:keepNext/>
              <w:spacing w:beforeLines="20" w:afterLines="20" w:line="240" w:lineRule="auto"/>
              <w:jc w:val="right"/>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$1,000</w:t>
            </w:r>
          </w:p>
        </w:tc>
      </w:tr>
      <w:tr w:rsidR="00970A19" w:rsidRPr="00970A19" w:rsidTr="00012A94">
        <w:trPr>
          <w:trHeight w:val="399"/>
        </w:trPr>
        <w:tc>
          <w:tcPr>
            <w:tcW w:w="2843" w:type="dxa"/>
            <w:tcBorders>
              <w:top w:val="single" w:sz="4" w:space="0" w:color="auto"/>
              <w:left w:val="single" w:sz="12" w:space="0" w:color="auto"/>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Package 5 - 20 GW</w:t>
            </w: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 </w:t>
            </w: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 </w:t>
            </w: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 </w:t>
            </w: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 </w:t>
            </w:r>
          </w:p>
        </w:tc>
        <w:tc>
          <w:tcPr>
            <w:tcW w:w="831"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jc w:val="right"/>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$700</w:t>
            </w:r>
          </w:p>
        </w:tc>
        <w:tc>
          <w:tcPr>
            <w:tcW w:w="787"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jc w:val="right"/>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$150</w:t>
            </w:r>
          </w:p>
        </w:tc>
        <w:tc>
          <w:tcPr>
            <w:tcW w:w="787" w:type="dxa"/>
            <w:tcBorders>
              <w:top w:val="nil"/>
              <w:left w:val="nil"/>
              <w:bottom w:val="single" w:sz="4" w:space="0" w:color="auto"/>
              <w:right w:val="single" w:sz="4" w:space="0" w:color="auto"/>
            </w:tcBorders>
            <w:shd w:val="clear" w:color="auto" w:fill="auto"/>
            <w:vAlign w:val="bottom"/>
            <w:hideMark/>
          </w:tcPr>
          <w:p w:rsidR="00970A19" w:rsidRPr="00970A19" w:rsidRDefault="00970A19" w:rsidP="00016A09">
            <w:pPr>
              <w:keepNext/>
              <w:spacing w:beforeLines="20" w:afterLines="20" w:line="240" w:lineRule="auto"/>
              <w:jc w:val="right"/>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$150</w:t>
            </w:r>
          </w:p>
        </w:tc>
        <w:tc>
          <w:tcPr>
            <w:tcW w:w="941" w:type="dxa"/>
            <w:tcBorders>
              <w:top w:val="nil"/>
              <w:left w:val="nil"/>
              <w:bottom w:val="single" w:sz="4" w:space="0" w:color="auto"/>
              <w:right w:val="single" w:sz="12" w:space="0" w:color="auto"/>
            </w:tcBorders>
            <w:shd w:val="clear" w:color="auto" w:fill="auto"/>
            <w:vAlign w:val="bottom"/>
            <w:hideMark/>
          </w:tcPr>
          <w:p w:rsidR="00970A19" w:rsidRPr="00970A19" w:rsidRDefault="00970A19" w:rsidP="00016A09">
            <w:pPr>
              <w:keepNext/>
              <w:spacing w:beforeLines="20" w:afterLines="20" w:line="240" w:lineRule="auto"/>
              <w:jc w:val="right"/>
              <w:rPr>
                <w:rFonts w:ascii="Calibri" w:eastAsia="Times New Roman" w:hAnsi="Calibri"/>
                <w:color w:val="000000"/>
                <w:sz w:val="22"/>
                <w:szCs w:val="22"/>
                <w:lang w:eastAsia="en-CA"/>
              </w:rPr>
            </w:pPr>
            <w:r w:rsidRPr="00970A19">
              <w:rPr>
                <w:rFonts w:ascii="Calibri" w:eastAsia="Times New Roman" w:hAnsi="Calibri"/>
                <w:color w:val="000000"/>
                <w:sz w:val="22"/>
                <w:szCs w:val="22"/>
                <w:lang w:eastAsia="en-CA"/>
              </w:rPr>
              <w:t>$1,000</w:t>
            </w:r>
          </w:p>
        </w:tc>
      </w:tr>
      <w:tr w:rsidR="00970A19" w:rsidRPr="00970A19" w:rsidTr="00012A94">
        <w:trPr>
          <w:trHeight w:val="399"/>
        </w:trPr>
        <w:tc>
          <w:tcPr>
            <w:tcW w:w="2843" w:type="dxa"/>
            <w:tcBorders>
              <w:top w:val="nil"/>
              <w:left w:val="single" w:sz="12" w:space="0" w:color="auto"/>
              <w:bottom w:val="single" w:sz="12" w:space="0" w:color="auto"/>
              <w:right w:val="single" w:sz="4" w:space="0" w:color="auto"/>
            </w:tcBorders>
            <w:shd w:val="clear" w:color="000000" w:fill="C5D9F1"/>
            <w:vAlign w:val="bottom"/>
            <w:hideMark/>
          </w:tcPr>
          <w:p w:rsidR="00970A19" w:rsidRPr="00970A19" w:rsidRDefault="00970A19" w:rsidP="00016A09">
            <w:pPr>
              <w:spacing w:beforeLines="20" w:afterLines="20" w:line="240" w:lineRule="auto"/>
              <w:jc w:val="right"/>
              <w:rPr>
                <w:rFonts w:ascii="Calibri" w:eastAsia="Times New Roman" w:hAnsi="Calibri"/>
                <w:b/>
                <w:bCs/>
                <w:i/>
                <w:iCs/>
                <w:color w:val="000000"/>
                <w:sz w:val="22"/>
                <w:szCs w:val="22"/>
                <w:lang w:eastAsia="en-CA"/>
              </w:rPr>
            </w:pPr>
            <w:r w:rsidRPr="00970A19">
              <w:rPr>
                <w:rFonts w:ascii="Calibri" w:eastAsia="Times New Roman" w:hAnsi="Calibri"/>
                <w:b/>
                <w:bCs/>
                <w:i/>
                <w:iCs/>
                <w:color w:val="000000"/>
                <w:sz w:val="22"/>
                <w:szCs w:val="22"/>
                <w:lang w:eastAsia="en-CA"/>
              </w:rPr>
              <w:t>Total for 20 GW by 2020</w:t>
            </w:r>
          </w:p>
        </w:tc>
        <w:tc>
          <w:tcPr>
            <w:tcW w:w="831" w:type="dxa"/>
            <w:tcBorders>
              <w:top w:val="nil"/>
              <w:left w:val="nil"/>
              <w:bottom w:val="single" w:sz="12" w:space="0" w:color="auto"/>
              <w:right w:val="single" w:sz="4" w:space="0" w:color="auto"/>
            </w:tcBorders>
            <w:shd w:val="clear" w:color="000000" w:fill="C5D9F1"/>
            <w:vAlign w:val="bottom"/>
            <w:hideMark/>
          </w:tcPr>
          <w:p w:rsidR="00970A19" w:rsidRPr="00970A19" w:rsidRDefault="00970A19" w:rsidP="00016A09">
            <w:pPr>
              <w:spacing w:beforeLines="20" w:afterLines="20" w:line="240" w:lineRule="auto"/>
              <w:jc w:val="right"/>
              <w:rPr>
                <w:rFonts w:ascii="Calibri" w:eastAsia="Times New Roman" w:hAnsi="Calibri"/>
                <w:b/>
                <w:bCs/>
                <w:i/>
                <w:iCs/>
                <w:color w:val="000000"/>
                <w:sz w:val="22"/>
                <w:szCs w:val="22"/>
                <w:lang w:eastAsia="en-CA"/>
              </w:rPr>
            </w:pPr>
            <w:r w:rsidRPr="00970A19">
              <w:rPr>
                <w:rFonts w:ascii="Calibri" w:eastAsia="Times New Roman" w:hAnsi="Calibri"/>
                <w:b/>
                <w:bCs/>
                <w:i/>
                <w:iCs/>
                <w:color w:val="000000"/>
                <w:sz w:val="22"/>
                <w:szCs w:val="22"/>
                <w:lang w:eastAsia="en-CA"/>
              </w:rPr>
              <w:t>$1,063</w:t>
            </w:r>
          </w:p>
        </w:tc>
        <w:tc>
          <w:tcPr>
            <w:tcW w:w="831" w:type="dxa"/>
            <w:tcBorders>
              <w:top w:val="nil"/>
              <w:left w:val="nil"/>
              <w:bottom w:val="single" w:sz="12" w:space="0" w:color="auto"/>
              <w:right w:val="single" w:sz="4" w:space="0" w:color="auto"/>
            </w:tcBorders>
            <w:shd w:val="clear" w:color="000000" w:fill="C5D9F1"/>
            <w:vAlign w:val="bottom"/>
            <w:hideMark/>
          </w:tcPr>
          <w:p w:rsidR="00970A19" w:rsidRPr="00970A19" w:rsidRDefault="00970A19" w:rsidP="00016A09">
            <w:pPr>
              <w:spacing w:beforeLines="20" w:afterLines="20" w:line="240" w:lineRule="auto"/>
              <w:jc w:val="right"/>
              <w:rPr>
                <w:rFonts w:ascii="Calibri" w:eastAsia="Times New Roman" w:hAnsi="Calibri"/>
                <w:b/>
                <w:bCs/>
                <w:i/>
                <w:iCs/>
                <w:color w:val="000000"/>
                <w:sz w:val="22"/>
                <w:szCs w:val="22"/>
                <w:lang w:eastAsia="en-CA"/>
              </w:rPr>
            </w:pPr>
            <w:r w:rsidRPr="00970A19">
              <w:rPr>
                <w:rFonts w:ascii="Calibri" w:eastAsia="Times New Roman" w:hAnsi="Calibri"/>
                <w:b/>
                <w:bCs/>
                <w:i/>
                <w:iCs/>
                <w:color w:val="000000"/>
                <w:sz w:val="22"/>
                <w:szCs w:val="22"/>
                <w:lang w:eastAsia="en-CA"/>
              </w:rPr>
              <w:t>$2,296</w:t>
            </w:r>
          </w:p>
        </w:tc>
        <w:tc>
          <w:tcPr>
            <w:tcW w:w="831" w:type="dxa"/>
            <w:tcBorders>
              <w:top w:val="nil"/>
              <w:left w:val="nil"/>
              <w:bottom w:val="single" w:sz="12" w:space="0" w:color="auto"/>
              <w:right w:val="single" w:sz="4" w:space="0" w:color="auto"/>
            </w:tcBorders>
            <w:shd w:val="clear" w:color="000000" w:fill="C5D9F1"/>
            <w:vAlign w:val="bottom"/>
            <w:hideMark/>
          </w:tcPr>
          <w:p w:rsidR="00970A19" w:rsidRPr="00970A19" w:rsidRDefault="00970A19" w:rsidP="00016A09">
            <w:pPr>
              <w:spacing w:beforeLines="20" w:afterLines="20" w:line="240" w:lineRule="auto"/>
              <w:jc w:val="right"/>
              <w:rPr>
                <w:rFonts w:ascii="Calibri" w:eastAsia="Times New Roman" w:hAnsi="Calibri"/>
                <w:b/>
                <w:bCs/>
                <w:i/>
                <w:iCs/>
                <w:color w:val="000000"/>
                <w:sz w:val="22"/>
                <w:szCs w:val="22"/>
                <w:lang w:eastAsia="en-CA"/>
              </w:rPr>
            </w:pPr>
            <w:r w:rsidRPr="00970A19">
              <w:rPr>
                <w:rFonts w:ascii="Calibri" w:eastAsia="Times New Roman" w:hAnsi="Calibri"/>
                <w:b/>
                <w:bCs/>
                <w:i/>
                <w:iCs/>
                <w:color w:val="000000"/>
                <w:sz w:val="22"/>
                <w:szCs w:val="22"/>
                <w:lang w:eastAsia="en-CA"/>
              </w:rPr>
              <w:t>$1,482</w:t>
            </w:r>
          </w:p>
        </w:tc>
        <w:tc>
          <w:tcPr>
            <w:tcW w:w="831" w:type="dxa"/>
            <w:tcBorders>
              <w:top w:val="nil"/>
              <w:left w:val="nil"/>
              <w:bottom w:val="single" w:sz="12" w:space="0" w:color="auto"/>
              <w:right w:val="single" w:sz="4" w:space="0" w:color="auto"/>
            </w:tcBorders>
            <w:shd w:val="clear" w:color="000000" w:fill="C5D9F1"/>
            <w:vAlign w:val="bottom"/>
            <w:hideMark/>
          </w:tcPr>
          <w:p w:rsidR="00970A19" w:rsidRPr="00970A19" w:rsidRDefault="00970A19" w:rsidP="00016A09">
            <w:pPr>
              <w:spacing w:beforeLines="20" w:afterLines="20" w:line="240" w:lineRule="auto"/>
              <w:jc w:val="right"/>
              <w:rPr>
                <w:rFonts w:ascii="Calibri" w:eastAsia="Times New Roman" w:hAnsi="Calibri"/>
                <w:b/>
                <w:bCs/>
                <w:i/>
                <w:iCs/>
                <w:color w:val="000000"/>
                <w:sz w:val="22"/>
                <w:szCs w:val="22"/>
                <w:lang w:eastAsia="en-CA"/>
              </w:rPr>
            </w:pPr>
            <w:r w:rsidRPr="00970A19">
              <w:rPr>
                <w:rFonts w:ascii="Calibri" w:eastAsia="Times New Roman" w:hAnsi="Calibri"/>
                <w:b/>
                <w:bCs/>
                <w:i/>
                <w:iCs/>
                <w:color w:val="000000"/>
                <w:sz w:val="22"/>
                <w:szCs w:val="22"/>
                <w:lang w:eastAsia="en-CA"/>
              </w:rPr>
              <w:t>$1,318</w:t>
            </w:r>
          </w:p>
        </w:tc>
        <w:tc>
          <w:tcPr>
            <w:tcW w:w="831" w:type="dxa"/>
            <w:tcBorders>
              <w:top w:val="nil"/>
              <w:left w:val="nil"/>
              <w:bottom w:val="single" w:sz="12" w:space="0" w:color="auto"/>
              <w:right w:val="single" w:sz="4" w:space="0" w:color="auto"/>
            </w:tcBorders>
            <w:shd w:val="clear" w:color="000000" w:fill="C5D9F1"/>
            <w:vAlign w:val="bottom"/>
            <w:hideMark/>
          </w:tcPr>
          <w:p w:rsidR="00970A19" w:rsidRPr="00970A19" w:rsidRDefault="00970A19" w:rsidP="00016A09">
            <w:pPr>
              <w:spacing w:beforeLines="20" w:afterLines="20" w:line="240" w:lineRule="auto"/>
              <w:jc w:val="right"/>
              <w:rPr>
                <w:rFonts w:ascii="Calibri" w:eastAsia="Times New Roman" w:hAnsi="Calibri"/>
                <w:b/>
                <w:bCs/>
                <w:i/>
                <w:iCs/>
                <w:color w:val="000000"/>
                <w:sz w:val="22"/>
                <w:szCs w:val="22"/>
                <w:lang w:eastAsia="en-CA"/>
              </w:rPr>
            </w:pPr>
            <w:r w:rsidRPr="00970A19">
              <w:rPr>
                <w:rFonts w:ascii="Calibri" w:eastAsia="Times New Roman" w:hAnsi="Calibri"/>
                <w:b/>
                <w:bCs/>
                <w:i/>
                <w:iCs/>
                <w:color w:val="000000"/>
                <w:sz w:val="22"/>
                <w:szCs w:val="22"/>
                <w:lang w:eastAsia="en-CA"/>
              </w:rPr>
              <w:t>$1,133</w:t>
            </w:r>
          </w:p>
        </w:tc>
        <w:tc>
          <w:tcPr>
            <w:tcW w:w="787" w:type="dxa"/>
            <w:tcBorders>
              <w:top w:val="nil"/>
              <w:left w:val="nil"/>
              <w:bottom w:val="single" w:sz="12" w:space="0" w:color="auto"/>
              <w:right w:val="single" w:sz="4" w:space="0" w:color="auto"/>
            </w:tcBorders>
            <w:shd w:val="clear" w:color="000000" w:fill="C5D9F1"/>
            <w:vAlign w:val="bottom"/>
            <w:hideMark/>
          </w:tcPr>
          <w:p w:rsidR="00970A19" w:rsidRPr="00970A19" w:rsidRDefault="00970A19" w:rsidP="00016A09">
            <w:pPr>
              <w:spacing w:beforeLines="20" w:afterLines="20" w:line="240" w:lineRule="auto"/>
              <w:jc w:val="right"/>
              <w:rPr>
                <w:rFonts w:ascii="Calibri" w:eastAsia="Times New Roman" w:hAnsi="Calibri"/>
                <w:b/>
                <w:bCs/>
                <w:i/>
                <w:iCs/>
                <w:color w:val="000000"/>
                <w:sz w:val="22"/>
                <w:szCs w:val="22"/>
                <w:lang w:eastAsia="en-CA"/>
              </w:rPr>
            </w:pPr>
            <w:r w:rsidRPr="00970A19">
              <w:rPr>
                <w:rFonts w:ascii="Calibri" w:eastAsia="Times New Roman" w:hAnsi="Calibri"/>
                <w:b/>
                <w:bCs/>
                <w:i/>
                <w:iCs/>
                <w:color w:val="000000"/>
                <w:sz w:val="22"/>
                <w:szCs w:val="22"/>
                <w:lang w:eastAsia="en-CA"/>
              </w:rPr>
              <w:t>$300</w:t>
            </w:r>
          </w:p>
        </w:tc>
        <w:tc>
          <w:tcPr>
            <w:tcW w:w="787" w:type="dxa"/>
            <w:tcBorders>
              <w:top w:val="nil"/>
              <w:left w:val="nil"/>
              <w:bottom w:val="single" w:sz="12" w:space="0" w:color="auto"/>
              <w:right w:val="single" w:sz="4" w:space="0" w:color="auto"/>
            </w:tcBorders>
            <w:shd w:val="clear" w:color="000000" w:fill="C5D9F1"/>
            <w:vAlign w:val="bottom"/>
            <w:hideMark/>
          </w:tcPr>
          <w:p w:rsidR="00970A19" w:rsidRPr="00970A19" w:rsidRDefault="00970A19" w:rsidP="00016A09">
            <w:pPr>
              <w:spacing w:beforeLines="20" w:afterLines="20" w:line="240" w:lineRule="auto"/>
              <w:jc w:val="right"/>
              <w:rPr>
                <w:rFonts w:ascii="Calibri" w:eastAsia="Times New Roman" w:hAnsi="Calibri"/>
                <w:b/>
                <w:bCs/>
                <w:i/>
                <w:iCs/>
                <w:color w:val="000000"/>
                <w:sz w:val="22"/>
                <w:szCs w:val="22"/>
                <w:lang w:eastAsia="en-CA"/>
              </w:rPr>
            </w:pPr>
            <w:r w:rsidRPr="00970A19">
              <w:rPr>
                <w:rFonts w:ascii="Calibri" w:eastAsia="Times New Roman" w:hAnsi="Calibri"/>
                <w:b/>
                <w:bCs/>
                <w:i/>
                <w:iCs/>
                <w:color w:val="000000"/>
                <w:sz w:val="22"/>
                <w:szCs w:val="22"/>
                <w:lang w:eastAsia="en-CA"/>
              </w:rPr>
              <w:t>$150</w:t>
            </w:r>
          </w:p>
        </w:tc>
        <w:tc>
          <w:tcPr>
            <w:tcW w:w="941" w:type="dxa"/>
            <w:tcBorders>
              <w:top w:val="nil"/>
              <w:left w:val="nil"/>
              <w:bottom w:val="single" w:sz="12" w:space="0" w:color="auto"/>
              <w:right w:val="single" w:sz="12" w:space="0" w:color="auto"/>
            </w:tcBorders>
            <w:shd w:val="clear" w:color="000000" w:fill="C5D9F1"/>
            <w:vAlign w:val="bottom"/>
            <w:hideMark/>
          </w:tcPr>
          <w:p w:rsidR="00970A19" w:rsidRPr="00970A19" w:rsidRDefault="00970A19" w:rsidP="00016A09">
            <w:pPr>
              <w:spacing w:beforeLines="20" w:afterLines="20" w:line="240" w:lineRule="auto"/>
              <w:jc w:val="right"/>
              <w:rPr>
                <w:rFonts w:ascii="Calibri" w:eastAsia="Times New Roman" w:hAnsi="Calibri"/>
                <w:b/>
                <w:bCs/>
                <w:i/>
                <w:iCs/>
                <w:color w:val="000000"/>
                <w:sz w:val="22"/>
                <w:szCs w:val="22"/>
                <w:lang w:eastAsia="en-CA"/>
              </w:rPr>
            </w:pPr>
            <w:r w:rsidRPr="00970A19">
              <w:rPr>
                <w:rFonts w:ascii="Calibri" w:eastAsia="Times New Roman" w:hAnsi="Calibri"/>
                <w:b/>
                <w:bCs/>
                <w:i/>
                <w:iCs/>
                <w:color w:val="000000"/>
                <w:sz w:val="22"/>
                <w:szCs w:val="22"/>
                <w:lang w:eastAsia="en-CA"/>
              </w:rPr>
              <w:t>$7,742</w:t>
            </w:r>
          </w:p>
        </w:tc>
      </w:tr>
    </w:tbl>
    <w:p w:rsidR="003920CE" w:rsidRDefault="003920CE">
      <w:pPr>
        <w:spacing w:line="240" w:lineRule="auto"/>
        <w:rPr>
          <w:rFonts w:cs="Arial"/>
          <w:lang w:val="en-GB"/>
        </w:rPr>
      </w:pPr>
    </w:p>
    <w:p w:rsidR="00E43B51" w:rsidRDefault="00E43B51">
      <w:pPr>
        <w:spacing w:line="240" w:lineRule="auto"/>
        <w:rPr>
          <w:rFonts w:cs="Arial"/>
          <w:lang w:val="en-GB"/>
        </w:rPr>
      </w:pPr>
    </w:p>
    <w:p w:rsidR="00E43B51" w:rsidRDefault="00E43B51">
      <w:pPr>
        <w:spacing w:line="240" w:lineRule="auto"/>
        <w:rPr>
          <w:rFonts w:cs="Arial"/>
          <w:lang w:val="en-GB"/>
        </w:rPr>
      </w:pPr>
    </w:p>
    <w:p w:rsidR="00E72D65" w:rsidRDefault="00E72D65" w:rsidP="00E72D65">
      <w:pPr>
        <w:pStyle w:val="ListParagraph"/>
        <w:ind w:left="1224"/>
        <w:rPr>
          <w:b/>
          <w:i/>
          <w:color w:val="365F91" w:themeColor="accent1" w:themeShade="BF"/>
          <w:lang w:val="en-GB"/>
        </w:rPr>
      </w:pPr>
    </w:p>
    <w:p w:rsidR="00E72D65" w:rsidRDefault="00E72D65" w:rsidP="00E72D65">
      <w:pPr>
        <w:pStyle w:val="ListParagraph"/>
        <w:ind w:left="1224"/>
        <w:rPr>
          <w:b/>
          <w:i/>
          <w:color w:val="365F91" w:themeColor="accent1" w:themeShade="BF"/>
          <w:lang w:val="en-GB"/>
        </w:rPr>
      </w:pPr>
    </w:p>
    <w:p w:rsidR="00D12904" w:rsidRDefault="00D12904" w:rsidP="00794C98">
      <w:pPr>
        <w:pStyle w:val="Heading1"/>
        <w:rPr>
          <w:lang w:val="en-GB"/>
        </w:rPr>
        <w:sectPr w:rsidR="00D12904" w:rsidSect="00242760">
          <w:pgSz w:w="12240" w:h="15840"/>
          <w:pgMar w:top="1701" w:right="1608" w:bottom="1440" w:left="1560" w:header="576" w:footer="125" w:gutter="0"/>
          <w:cols w:space="708"/>
          <w:docGrid w:linePitch="360"/>
        </w:sectPr>
      </w:pPr>
    </w:p>
    <w:p w:rsidR="00142A38" w:rsidRDefault="002E4CA1" w:rsidP="00142A38">
      <w:pPr>
        <w:pStyle w:val="Heading4"/>
        <w:sectPr w:rsidR="00142A38" w:rsidSect="00142A38">
          <w:footerReference w:type="default" r:id="rId15"/>
          <w:pgSz w:w="12240" w:h="15840"/>
          <w:pgMar w:top="1701" w:right="1608" w:bottom="1440" w:left="1560" w:header="576" w:footer="125" w:gutter="0"/>
          <w:pgNumType w:start="1" w:chapStyle="4"/>
          <w:cols w:space="708"/>
          <w:docGrid w:linePitch="360"/>
        </w:sectPr>
      </w:pPr>
      <w:bookmarkStart w:id="18" w:name="_Ref381093028"/>
      <w:bookmarkStart w:id="19" w:name="_Toc381186750"/>
      <w:r>
        <w:lastRenderedPageBreak/>
        <w:t>MHI/TCN 10 GW PSSE Based System Study and Report</w:t>
      </w:r>
      <w:bookmarkEnd w:id="18"/>
      <w:bookmarkEnd w:id="19"/>
    </w:p>
    <w:p w:rsidR="00FB05F9" w:rsidRDefault="004D5BAE" w:rsidP="00006204">
      <w:pPr>
        <w:pStyle w:val="Heading4"/>
      </w:pPr>
      <w:bookmarkStart w:id="20" w:name="_Ref381093508"/>
      <w:bookmarkStart w:id="21" w:name="_Toc381186751"/>
      <w:r>
        <w:lastRenderedPageBreak/>
        <w:t xml:space="preserve">Financing Package 1 – </w:t>
      </w:r>
      <w:r w:rsidR="00C328D3">
        <w:t>Ongoing Projects</w:t>
      </w:r>
      <w:r>
        <w:t xml:space="preserve"> Needing Incremental Funding</w:t>
      </w:r>
      <w:bookmarkEnd w:id="20"/>
      <w:bookmarkEnd w:id="21"/>
    </w:p>
    <w:p w:rsidR="00054139" w:rsidRDefault="00054139" w:rsidP="00142A38">
      <w:pPr>
        <w:pStyle w:val="Heading4"/>
        <w:sectPr w:rsidR="00054139" w:rsidSect="00142A38">
          <w:footerReference w:type="default" r:id="rId16"/>
          <w:pgSz w:w="12240" w:h="15840"/>
          <w:pgMar w:top="1701" w:right="1608" w:bottom="1440" w:left="1560" w:header="576" w:footer="125" w:gutter="0"/>
          <w:pgNumType w:start="1" w:chapStyle="4"/>
          <w:cols w:space="708"/>
          <w:docGrid w:linePitch="360"/>
        </w:sectPr>
      </w:pPr>
    </w:p>
    <w:p w:rsidR="00C328D3" w:rsidRPr="00142A38" w:rsidRDefault="004D5BAE" w:rsidP="00142A38">
      <w:pPr>
        <w:pStyle w:val="Heading4"/>
      </w:pPr>
      <w:bookmarkStart w:id="22" w:name="_Ref381093542"/>
      <w:bookmarkStart w:id="23" w:name="_Toc381186752"/>
      <w:r w:rsidRPr="00142A38">
        <w:lastRenderedPageBreak/>
        <w:t xml:space="preserve">Financing Package 2 – </w:t>
      </w:r>
      <w:r w:rsidR="00C328D3" w:rsidRPr="00142A38">
        <w:t>New Projects</w:t>
      </w:r>
      <w:r w:rsidR="00D0587D" w:rsidRPr="00142A38">
        <w:t xml:space="preserve"> for </w:t>
      </w:r>
      <w:r w:rsidR="00C328D3" w:rsidRPr="00142A38">
        <w:t>10 GW System</w:t>
      </w:r>
      <w:bookmarkEnd w:id="22"/>
      <w:bookmarkEnd w:id="23"/>
      <w:r w:rsidR="00C328D3" w:rsidRPr="00142A38">
        <w:t xml:space="preserve"> </w:t>
      </w:r>
    </w:p>
    <w:p w:rsidR="00D1152F" w:rsidRDefault="00D1152F" w:rsidP="00D1152F">
      <w:pPr>
        <w:jc w:val="both"/>
        <w:rPr>
          <w:rFonts w:cs="Arial"/>
          <w:lang w:val="en-GB"/>
        </w:rPr>
      </w:pPr>
    </w:p>
    <w:p w:rsidR="00D1152F" w:rsidRDefault="00D1152F" w:rsidP="00D1152F">
      <w:pPr>
        <w:rPr>
          <w:lang w:val="en-GB"/>
        </w:rPr>
      </w:pPr>
    </w:p>
    <w:p w:rsidR="00054139" w:rsidRDefault="00054139" w:rsidP="00142A38">
      <w:pPr>
        <w:pStyle w:val="Heading4"/>
        <w:sectPr w:rsidR="00054139" w:rsidSect="00142A38">
          <w:pgSz w:w="12240" w:h="15840"/>
          <w:pgMar w:top="1701" w:right="1608" w:bottom="1440" w:left="1560" w:header="576" w:footer="125" w:gutter="0"/>
          <w:pgNumType w:start="1" w:chapStyle="4"/>
          <w:cols w:space="708"/>
          <w:docGrid w:linePitch="360"/>
        </w:sectPr>
      </w:pPr>
    </w:p>
    <w:p w:rsidR="00006204" w:rsidRPr="00006204" w:rsidRDefault="004D5BAE" w:rsidP="00142A38">
      <w:pPr>
        <w:pStyle w:val="Heading4"/>
      </w:pPr>
      <w:bookmarkStart w:id="24" w:name="_Ref381093587"/>
      <w:bookmarkStart w:id="25" w:name="_Toc381186753"/>
      <w:r>
        <w:lastRenderedPageBreak/>
        <w:t xml:space="preserve">Financing Package 3 – </w:t>
      </w:r>
      <w:r w:rsidR="00C328D3">
        <w:t xml:space="preserve">Incremental </w:t>
      </w:r>
      <w:r w:rsidR="00C328D3" w:rsidRPr="00C328D3">
        <w:t xml:space="preserve">Projects for </w:t>
      </w:r>
      <w:r w:rsidR="002E4CA1">
        <w:t>13 GW System</w:t>
      </w:r>
      <w:bookmarkEnd w:id="24"/>
      <w:bookmarkEnd w:id="25"/>
      <w:r w:rsidR="002E4CA1">
        <w:t xml:space="preserve"> </w:t>
      </w:r>
    </w:p>
    <w:p w:rsidR="00887297" w:rsidRDefault="00887297">
      <w:pPr>
        <w:spacing w:line="240" w:lineRule="auto"/>
        <w:rPr>
          <w:rFonts w:cs="Arial"/>
          <w:sz w:val="52"/>
          <w:szCs w:val="52"/>
          <w:lang w:val="en-GB"/>
        </w:rPr>
      </w:pPr>
    </w:p>
    <w:p w:rsidR="00054139" w:rsidRDefault="00054139">
      <w:pPr>
        <w:spacing w:line="240" w:lineRule="auto"/>
        <w:rPr>
          <w:rFonts w:cs="Arial"/>
          <w:sz w:val="52"/>
          <w:szCs w:val="52"/>
          <w:lang w:val="en-GB"/>
        </w:rPr>
        <w:sectPr w:rsidR="00054139" w:rsidSect="00142A38">
          <w:pgSz w:w="12240" w:h="15840"/>
          <w:pgMar w:top="1701" w:right="1608" w:bottom="1440" w:left="1560" w:header="576" w:footer="125" w:gutter="0"/>
          <w:pgNumType w:start="1" w:chapStyle="4"/>
          <w:cols w:space="708"/>
          <w:docGrid w:linePitch="360"/>
        </w:sectPr>
      </w:pPr>
    </w:p>
    <w:p w:rsidR="00006204" w:rsidRPr="00193377" w:rsidRDefault="004D5BAE" w:rsidP="00142A38">
      <w:pPr>
        <w:pStyle w:val="Heading4"/>
      </w:pPr>
      <w:bookmarkStart w:id="26" w:name="_Ref381093597"/>
      <w:bookmarkStart w:id="27" w:name="_Toc381186754"/>
      <w:r>
        <w:lastRenderedPageBreak/>
        <w:t xml:space="preserve">Financing Package 4 – </w:t>
      </w:r>
      <w:r w:rsidR="00C328D3">
        <w:t xml:space="preserve">Incremental Projects for </w:t>
      </w:r>
      <w:r w:rsidR="002E4CA1">
        <w:t>16 GW System</w:t>
      </w:r>
      <w:bookmarkEnd w:id="26"/>
      <w:bookmarkEnd w:id="27"/>
      <w:r w:rsidR="00166942">
        <w:t xml:space="preserve"> </w:t>
      </w:r>
    </w:p>
    <w:p w:rsidR="00054139" w:rsidRDefault="00054139" w:rsidP="00142A38">
      <w:pPr>
        <w:pStyle w:val="Heading4"/>
        <w:sectPr w:rsidR="00054139" w:rsidSect="00142A38">
          <w:pgSz w:w="12240" w:h="15840"/>
          <w:pgMar w:top="1701" w:right="1608" w:bottom="1440" w:left="1560" w:header="576" w:footer="125" w:gutter="0"/>
          <w:pgNumType w:start="1" w:chapStyle="4"/>
          <w:cols w:space="708"/>
          <w:docGrid w:linePitch="360"/>
        </w:sectPr>
      </w:pPr>
    </w:p>
    <w:p w:rsidR="00006204" w:rsidRPr="00193377" w:rsidRDefault="004D5BAE" w:rsidP="00142A38">
      <w:pPr>
        <w:pStyle w:val="Heading4"/>
      </w:pPr>
      <w:bookmarkStart w:id="28" w:name="_Ref381093604"/>
      <w:bookmarkStart w:id="29" w:name="_Toc381186755"/>
      <w:r>
        <w:lastRenderedPageBreak/>
        <w:t xml:space="preserve">Financing Package 5 – </w:t>
      </w:r>
      <w:r w:rsidR="00C328D3">
        <w:t>Incremental Projects for</w:t>
      </w:r>
      <w:r w:rsidR="002E4CA1">
        <w:t xml:space="preserve"> 20 GW Syste</w:t>
      </w:r>
      <w:r>
        <w:t>m</w:t>
      </w:r>
      <w:bookmarkEnd w:id="28"/>
      <w:bookmarkEnd w:id="29"/>
    </w:p>
    <w:p w:rsidR="00054139" w:rsidRDefault="00054139" w:rsidP="00142A38">
      <w:pPr>
        <w:pStyle w:val="Heading4"/>
        <w:sectPr w:rsidR="00054139" w:rsidSect="00142A38">
          <w:pgSz w:w="12240" w:h="15840"/>
          <w:pgMar w:top="1701" w:right="1608" w:bottom="1440" w:left="1560" w:header="576" w:footer="125" w:gutter="0"/>
          <w:pgNumType w:start="1" w:chapStyle="4"/>
          <w:cols w:space="708"/>
          <w:docGrid w:linePitch="360"/>
        </w:sectPr>
      </w:pPr>
    </w:p>
    <w:p w:rsidR="00A15BC1" w:rsidRPr="00193377" w:rsidRDefault="007A69A8" w:rsidP="00142A38">
      <w:pPr>
        <w:pStyle w:val="Heading4"/>
      </w:pPr>
      <w:bookmarkStart w:id="30" w:name="_Ref381092985"/>
      <w:bookmarkStart w:id="31" w:name="_Toc381186756"/>
      <w:r>
        <w:lastRenderedPageBreak/>
        <w:t xml:space="preserve">NIAF </w:t>
      </w:r>
      <w:r w:rsidR="008F51AA">
        <w:t>Assumptions for</w:t>
      </w:r>
      <w:r w:rsidR="005A403D" w:rsidRPr="008F51AA">
        <w:t xml:space="preserve"> </w:t>
      </w:r>
      <w:r w:rsidR="00A15BC1" w:rsidRPr="008F51AA">
        <w:t>Project</w:t>
      </w:r>
      <w:r w:rsidR="00A15BC1">
        <w:t xml:space="preserve"> Cost</w:t>
      </w:r>
      <w:r w:rsidR="005A403D">
        <w:t xml:space="preserve"> Estimate</w:t>
      </w:r>
      <w:r w:rsidR="00A15BC1">
        <w:t>s</w:t>
      </w:r>
      <w:bookmarkEnd w:id="30"/>
      <w:bookmarkEnd w:id="31"/>
    </w:p>
    <w:p w:rsidR="0056026E" w:rsidRPr="00193377" w:rsidRDefault="0056026E" w:rsidP="0056026E"/>
    <w:sectPr w:rsidR="0056026E" w:rsidRPr="00193377" w:rsidSect="00142A38">
      <w:pgSz w:w="12240" w:h="15840"/>
      <w:pgMar w:top="1701" w:right="1608" w:bottom="1440" w:left="1560" w:header="576" w:footer="125" w:gutter="0"/>
      <w:pgNumType w:start="1" w:chapStyle="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3C1D" w:rsidRDefault="007A3C1D">
      <w:r>
        <w:separator/>
      </w:r>
    </w:p>
    <w:p w:rsidR="007A3C1D" w:rsidRDefault="007A3C1D"/>
  </w:endnote>
  <w:endnote w:type="continuationSeparator" w:id="0">
    <w:p w:rsidR="007A3C1D" w:rsidRDefault="007A3C1D">
      <w:r>
        <w:continuationSeparator/>
      </w:r>
    </w:p>
    <w:p w:rsidR="007A3C1D" w:rsidRDefault="007A3C1D"/>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0D8" w:rsidRDefault="007110D8" w:rsidP="00516B8C">
    <w:pPr>
      <w:pStyle w:val="Footer"/>
      <w:ind w:left="-1440"/>
    </w:pPr>
  </w:p>
  <w:p w:rsidR="007110D8" w:rsidRDefault="007110D8" w:rsidP="00516B8C">
    <w:pPr>
      <w:pStyle w:val="Footer"/>
      <w:ind w:left="-1440"/>
      <w:jc w:val="center"/>
    </w:pPr>
    <w:r>
      <w:rPr>
        <w:noProof/>
        <w:lang w:val="en-US"/>
      </w:rPr>
      <w:drawing>
        <wp:inline distT="0" distB="0" distL="0" distR="0">
          <wp:extent cx="7820025" cy="2038350"/>
          <wp:effectExtent l="0" t="0" r="9525" b="0"/>
          <wp:docPr id="4" name="Picture 4" descr="CoverB_template_M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overB_template_MHI"/>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820025" cy="2038350"/>
                  </a:xfrm>
                  <a:prstGeom prst="rect">
                    <a:avLst/>
                  </a:prstGeom>
                  <a:noFill/>
                  <a:ln>
                    <a:noFill/>
                  </a:ln>
                </pic:spPr>
              </pic:pic>
            </a:graphicData>
          </a:graphic>
        </wp:inline>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0D8" w:rsidRDefault="007110D8" w:rsidP="00516B8C">
    <w:pPr>
      <w:pStyle w:val="Footer"/>
      <w:jc w:val="right"/>
    </w:pPr>
    <w:r w:rsidRPr="000F208F">
      <w:rPr>
        <w:rFonts w:ascii="Times New Roman" w:hAnsi="Times New Roman"/>
        <w:sz w:val="24"/>
        <w:szCs w:val="24"/>
      </w:rPr>
      <w:t xml:space="preserve">Page </w:t>
    </w:r>
    <w:r w:rsidR="00CF05A0" w:rsidRPr="000F208F">
      <w:rPr>
        <w:rFonts w:ascii="Times New Roman" w:hAnsi="Times New Roman"/>
        <w:bCs/>
        <w:sz w:val="24"/>
        <w:szCs w:val="24"/>
      </w:rPr>
      <w:fldChar w:fldCharType="begin"/>
    </w:r>
    <w:r w:rsidRPr="000F208F">
      <w:rPr>
        <w:rFonts w:ascii="Times New Roman" w:hAnsi="Times New Roman"/>
        <w:bCs/>
        <w:sz w:val="24"/>
        <w:szCs w:val="24"/>
      </w:rPr>
      <w:instrText xml:space="preserve"> PAGE </w:instrText>
    </w:r>
    <w:r w:rsidR="00CF05A0" w:rsidRPr="000F208F">
      <w:rPr>
        <w:rFonts w:ascii="Times New Roman" w:hAnsi="Times New Roman"/>
        <w:bCs/>
        <w:sz w:val="24"/>
        <w:szCs w:val="24"/>
      </w:rPr>
      <w:fldChar w:fldCharType="separate"/>
    </w:r>
    <w:r>
      <w:rPr>
        <w:rFonts w:ascii="Times New Roman" w:hAnsi="Times New Roman"/>
        <w:bCs/>
        <w:noProof/>
        <w:sz w:val="24"/>
        <w:szCs w:val="24"/>
      </w:rPr>
      <w:t>B-1</w:t>
    </w:r>
    <w:r w:rsidR="00CF05A0" w:rsidRPr="000F208F">
      <w:rPr>
        <w:rFonts w:ascii="Times New Roman" w:hAnsi="Times New Roman"/>
        <w:bCs/>
        <w:sz w:val="24"/>
        <w:szCs w:val="24"/>
      </w:rPr>
      <w:fldChar w:fldCharType="end"/>
    </w:r>
    <w:r w:rsidRPr="000F208F">
      <w:rPr>
        <w:rFonts w:ascii="Times New Roman" w:hAnsi="Times New Roman"/>
        <w:sz w:val="24"/>
        <w:szCs w:val="24"/>
      </w:rPr>
      <w:t xml:space="preserve"> of </w:t>
    </w:r>
    <w:r w:rsidR="00CF05A0" w:rsidRPr="000F208F">
      <w:rPr>
        <w:rFonts w:ascii="Times New Roman" w:hAnsi="Times New Roman"/>
        <w:bCs/>
        <w:sz w:val="24"/>
        <w:szCs w:val="24"/>
      </w:rPr>
      <w:fldChar w:fldCharType="begin"/>
    </w:r>
    <w:r w:rsidRPr="000F208F">
      <w:rPr>
        <w:rFonts w:ascii="Times New Roman" w:hAnsi="Times New Roman"/>
        <w:bCs/>
        <w:sz w:val="24"/>
        <w:szCs w:val="24"/>
      </w:rPr>
      <w:instrText xml:space="preserve"> NUMPAGES  </w:instrText>
    </w:r>
    <w:r w:rsidR="00CF05A0" w:rsidRPr="000F208F">
      <w:rPr>
        <w:rFonts w:ascii="Times New Roman" w:hAnsi="Times New Roman"/>
        <w:bCs/>
        <w:sz w:val="24"/>
        <w:szCs w:val="24"/>
      </w:rPr>
      <w:fldChar w:fldCharType="separate"/>
    </w:r>
    <w:r>
      <w:rPr>
        <w:rFonts w:ascii="Times New Roman" w:hAnsi="Times New Roman"/>
        <w:bCs/>
        <w:noProof/>
        <w:sz w:val="24"/>
        <w:szCs w:val="24"/>
      </w:rPr>
      <w:t>38</w:t>
    </w:r>
    <w:r w:rsidR="00CF05A0" w:rsidRPr="000F208F">
      <w:rPr>
        <w:rFonts w:ascii="Times New Roman" w:hAnsi="Times New Roman"/>
        <w:bCs/>
        <w:sz w:val="24"/>
        <w:szCs w:val="24"/>
      </w:rPr>
      <w:fldChar w:fldCharType="end"/>
    </w:r>
  </w:p>
  <w:p w:rsidR="007110D8" w:rsidRDefault="007110D8" w:rsidP="00516B8C">
    <w:pPr>
      <w:pStyle w:val="Footer"/>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0D8" w:rsidRPr="00672C45" w:rsidRDefault="007110D8">
    <w:pPr>
      <w:pStyle w:val="Footer"/>
      <w:jc w:val="right"/>
    </w:pPr>
    <w:r w:rsidRPr="00672C45">
      <w:t xml:space="preserve">Page </w:t>
    </w:r>
    <w:r w:rsidR="00CF05A0" w:rsidRPr="00672C45">
      <w:rPr>
        <w:bCs/>
        <w:szCs w:val="24"/>
      </w:rPr>
      <w:fldChar w:fldCharType="begin"/>
    </w:r>
    <w:r w:rsidRPr="00672C45">
      <w:rPr>
        <w:bCs/>
      </w:rPr>
      <w:instrText xml:space="preserve"> PAGE </w:instrText>
    </w:r>
    <w:r w:rsidR="00CF05A0" w:rsidRPr="00672C45">
      <w:rPr>
        <w:bCs/>
        <w:szCs w:val="24"/>
      </w:rPr>
      <w:fldChar w:fldCharType="separate"/>
    </w:r>
    <w:r>
      <w:rPr>
        <w:bCs/>
        <w:noProof/>
      </w:rPr>
      <w:t>2</w:t>
    </w:r>
    <w:r w:rsidR="00CF05A0" w:rsidRPr="00672C45">
      <w:rPr>
        <w:bCs/>
        <w:szCs w:val="24"/>
      </w:rPr>
      <w:fldChar w:fldCharType="end"/>
    </w:r>
    <w:r w:rsidRPr="00672C45">
      <w:t xml:space="preserve"> of </w:t>
    </w:r>
    <w:r w:rsidR="00CF05A0" w:rsidRPr="00672C45">
      <w:rPr>
        <w:bCs/>
        <w:szCs w:val="24"/>
      </w:rPr>
      <w:fldChar w:fldCharType="begin"/>
    </w:r>
    <w:r w:rsidRPr="00672C45">
      <w:rPr>
        <w:bCs/>
      </w:rPr>
      <w:instrText xml:space="preserve"> NUMPAGES  </w:instrText>
    </w:r>
    <w:r w:rsidR="00CF05A0" w:rsidRPr="00672C45">
      <w:rPr>
        <w:bCs/>
        <w:szCs w:val="24"/>
      </w:rPr>
      <w:fldChar w:fldCharType="separate"/>
    </w:r>
    <w:r>
      <w:rPr>
        <w:bCs/>
        <w:noProof/>
      </w:rPr>
      <w:t>20</w:t>
    </w:r>
    <w:r w:rsidR="00CF05A0" w:rsidRPr="00672C45">
      <w:rPr>
        <w:bCs/>
        <w:szCs w:val="24"/>
      </w:rPr>
      <w:fldChar w:fldCharType="end"/>
    </w:r>
  </w:p>
  <w:p w:rsidR="007110D8" w:rsidRDefault="007110D8" w:rsidP="00516B8C">
    <w:pPr>
      <w:pStyle w:val="Footer"/>
      <w:jc w:val="righ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0D8" w:rsidRPr="00156ADE" w:rsidRDefault="007110D8" w:rsidP="00E622A5">
    <w:pPr>
      <w:pStyle w:val="Footer"/>
      <w:pBdr>
        <w:top w:val="single" w:sz="4" w:space="1" w:color="auto"/>
      </w:pBdr>
      <w:tabs>
        <w:tab w:val="clear" w:pos="8640"/>
        <w:tab w:val="right" w:pos="9090"/>
      </w:tabs>
      <w:spacing w:line="200" w:lineRule="atLeast"/>
      <w:rPr>
        <w:rFonts w:asciiTheme="majorHAnsi" w:hAnsiTheme="majorHAnsi" w:cstheme="majorHAnsi"/>
        <w:sz w:val="18"/>
        <w:szCs w:val="18"/>
      </w:rPr>
    </w:pPr>
    <w:r w:rsidRPr="00E622A5">
      <w:rPr>
        <w:rFonts w:asciiTheme="majorHAnsi" w:hAnsiTheme="majorHAnsi" w:cstheme="majorHAnsi"/>
        <w:sz w:val="18"/>
        <w:szCs w:val="18"/>
      </w:rPr>
      <w:t>TCN Transmission System Development Plan</w:t>
    </w:r>
    <w:r>
      <w:rPr>
        <w:rFonts w:asciiTheme="majorHAnsi" w:hAnsiTheme="majorHAnsi" w:cstheme="majorHAnsi"/>
        <w:sz w:val="18"/>
        <w:szCs w:val="18"/>
      </w:rPr>
      <w:tab/>
    </w:r>
    <w:r w:rsidRPr="00156ADE">
      <w:rPr>
        <w:rFonts w:asciiTheme="majorHAnsi" w:hAnsiTheme="majorHAnsi" w:cstheme="majorHAnsi"/>
        <w:sz w:val="18"/>
        <w:szCs w:val="18"/>
      </w:rPr>
      <w:tab/>
    </w:r>
    <w:sdt>
      <w:sdtPr>
        <w:rPr>
          <w:rFonts w:asciiTheme="majorHAnsi" w:hAnsiTheme="majorHAnsi" w:cstheme="majorHAnsi"/>
          <w:sz w:val="18"/>
          <w:szCs w:val="18"/>
        </w:rPr>
        <w:id w:val="4423459"/>
        <w:docPartObj>
          <w:docPartGallery w:val="Page Numbers (Bottom of Page)"/>
          <w:docPartUnique/>
        </w:docPartObj>
      </w:sdtPr>
      <w:sdtEndPr>
        <w:rPr>
          <w:noProof/>
        </w:rPr>
      </w:sdtEndPr>
      <w:sdtContent>
        <w:r w:rsidR="00CF05A0" w:rsidRPr="00156ADE">
          <w:rPr>
            <w:rFonts w:asciiTheme="majorHAnsi" w:hAnsiTheme="majorHAnsi" w:cstheme="majorHAnsi"/>
            <w:sz w:val="18"/>
            <w:szCs w:val="18"/>
          </w:rPr>
          <w:fldChar w:fldCharType="begin"/>
        </w:r>
        <w:r w:rsidRPr="00156ADE">
          <w:rPr>
            <w:rFonts w:asciiTheme="majorHAnsi" w:hAnsiTheme="majorHAnsi" w:cstheme="majorHAnsi"/>
            <w:sz w:val="18"/>
            <w:szCs w:val="18"/>
          </w:rPr>
          <w:instrText xml:space="preserve"> PAGE   \* MERGEFORMAT </w:instrText>
        </w:r>
        <w:r w:rsidR="00CF05A0" w:rsidRPr="00156ADE">
          <w:rPr>
            <w:rFonts w:asciiTheme="majorHAnsi" w:hAnsiTheme="majorHAnsi" w:cstheme="majorHAnsi"/>
            <w:sz w:val="18"/>
            <w:szCs w:val="18"/>
          </w:rPr>
          <w:fldChar w:fldCharType="separate"/>
        </w:r>
        <w:r w:rsidR="00016A09">
          <w:rPr>
            <w:rFonts w:asciiTheme="majorHAnsi" w:hAnsiTheme="majorHAnsi" w:cstheme="majorHAnsi"/>
            <w:noProof/>
            <w:sz w:val="18"/>
            <w:szCs w:val="18"/>
          </w:rPr>
          <w:t>11</w:t>
        </w:r>
        <w:r w:rsidR="00CF05A0" w:rsidRPr="00156ADE">
          <w:rPr>
            <w:rFonts w:asciiTheme="majorHAnsi" w:hAnsiTheme="majorHAnsi" w:cstheme="majorHAnsi"/>
            <w:noProof/>
            <w:sz w:val="18"/>
            <w:szCs w:val="18"/>
          </w:rPr>
          <w:fldChar w:fldCharType="end"/>
        </w:r>
      </w:sdtContent>
    </w:sdt>
  </w:p>
  <w:p w:rsidR="007110D8" w:rsidRPr="00156ADE" w:rsidRDefault="007110D8" w:rsidP="00242760">
    <w:pPr>
      <w:pStyle w:val="Footer"/>
      <w:spacing w:line="200" w:lineRule="atLeast"/>
      <w:rPr>
        <w:rFonts w:asciiTheme="majorHAnsi" w:hAnsiTheme="majorHAnsi" w:cstheme="majorHAnsi"/>
        <w:noProof/>
        <w:sz w:val="18"/>
        <w:szCs w:val="18"/>
      </w:rPr>
    </w:pPr>
    <w:r w:rsidRPr="00156ADE">
      <w:rPr>
        <w:rFonts w:asciiTheme="majorHAnsi" w:hAnsiTheme="majorHAnsi" w:cstheme="majorHAnsi"/>
        <w:sz w:val="18"/>
        <w:szCs w:val="18"/>
      </w:rPr>
      <w:t xml:space="preserve">Manitoba Hydro International Ltd </w:t>
    </w:r>
  </w:p>
  <w:p w:rsidR="007110D8" w:rsidRDefault="007110D8" w:rsidP="00242760">
    <w:pPr>
      <w:pStyle w:val="Footer"/>
    </w:pPr>
  </w:p>
  <w:p w:rsidR="007110D8" w:rsidRPr="00242760" w:rsidRDefault="007110D8" w:rsidP="00242760">
    <w:pPr>
      <w:pStyle w:val="Footer"/>
    </w:pPr>
  </w:p>
  <w:p w:rsidR="007110D8" w:rsidRDefault="007110D8"/>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0D8" w:rsidRPr="00156ADE" w:rsidRDefault="007110D8" w:rsidP="00E622A5">
    <w:pPr>
      <w:pStyle w:val="Footer"/>
      <w:pBdr>
        <w:top w:val="single" w:sz="4" w:space="1" w:color="auto"/>
      </w:pBdr>
      <w:tabs>
        <w:tab w:val="clear" w:pos="8640"/>
        <w:tab w:val="right" w:pos="9090"/>
      </w:tabs>
      <w:spacing w:line="200" w:lineRule="atLeast"/>
      <w:rPr>
        <w:rFonts w:asciiTheme="majorHAnsi" w:hAnsiTheme="majorHAnsi" w:cstheme="majorHAnsi"/>
        <w:sz w:val="18"/>
        <w:szCs w:val="18"/>
      </w:rPr>
    </w:pPr>
    <w:r w:rsidRPr="00E622A5">
      <w:rPr>
        <w:rFonts w:asciiTheme="majorHAnsi" w:hAnsiTheme="majorHAnsi" w:cstheme="majorHAnsi"/>
        <w:sz w:val="18"/>
        <w:szCs w:val="18"/>
      </w:rPr>
      <w:t>TCN Transmission System Development Plan</w:t>
    </w:r>
    <w:r>
      <w:rPr>
        <w:rFonts w:asciiTheme="majorHAnsi" w:hAnsiTheme="majorHAnsi" w:cstheme="majorHAnsi"/>
        <w:sz w:val="18"/>
        <w:szCs w:val="18"/>
      </w:rPr>
      <w:tab/>
    </w:r>
    <w:r w:rsidRPr="00156ADE">
      <w:rPr>
        <w:rFonts w:asciiTheme="majorHAnsi" w:hAnsiTheme="majorHAnsi" w:cstheme="majorHAnsi"/>
        <w:sz w:val="18"/>
        <w:szCs w:val="18"/>
      </w:rPr>
      <w:tab/>
    </w:r>
    <w:sdt>
      <w:sdtPr>
        <w:rPr>
          <w:rFonts w:asciiTheme="majorHAnsi" w:hAnsiTheme="majorHAnsi" w:cstheme="majorHAnsi"/>
          <w:sz w:val="18"/>
          <w:szCs w:val="18"/>
        </w:rPr>
        <w:id w:val="4423457"/>
        <w:docPartObj>
          <w:docPartGallery w:val="Page Numbers (Bottom of Page)"/>
          <w:docPartUnique/>
        </w:docPartObj>
      </w:sdtPr>
      <w:sdtEndPr>
        <w:rPr>
          <w:noProof/>
        </w:rPr>
      </w:sdtEndPr>
      <w:sdtContent>
        <w:r w:rsidR="00CF05A0" w:rsidRPr="00156ADE">
          <w:rPr>
            <w:rFonts w:asciiTheme="majorHAnsi" w:hAnsiTheme="majorHAnsi" w:cstheme="majorHAnsi"/>
            <w:sz w:val="18"/>
            <w:szCs w:val="18"/>
          </w:rPr>
          <w:fldChar w:fldCharType="begin"/>
        </w:r>
        <w:r w:rsidRPr="00156ADE">
          <w:rPr>
            <w:rFonts w:asciiTheme="majorHAnsi" w:hAnsiTheme="majorHAnsi" w:cstheme="majorHAnsi"/>
            <w:sz w:val="18"/>
            <w:szCs w:val="18"/>
          </w:rPr>
          <w:instrText xml:space="preserve"> PAGE   \* MERGEFORMAT </w:instrText>
        </w:r>
        <w:r w:rsidR="00CF05A0" w:rsidRPr="00156ADE">
          <w:rPr>
            <w:rFonts w:asciiTheme="majorHAnsi" w:hAnsiTheme="majorHAnsi" w:cstheme="majorHAnsi"/>
            <w:sz w:val="18"/>
            <w:szCs w:val="18"/>
          </w:rPr>
          <w:fldChar w:fldCharType="separate"/>
        </w:r>
        <w:r w:rsidR="00016A09">
          <w:rPr>
            <w:rFonts w:asciiTheme="majorHAnsi" w:hAnsiTheme="majorHAnsi" w:cstheme="majorHAnsi"/>
            <w:noProof/>
            <w:sz w:val="18"/>
            <w:szCs w:val="18"/>
          </w:rPr>
          <w:t>A-1</w:t>
        </w:r>
        <w:r w:rsidR="00CF05A0" w:rsidRPr="00156ADE">
          <w:rPr>
            <w:rFonts w:asciiTheme="majorHAnsi" w:hAnsiTheme="majorHAnsi" w:cstheme="majorHAnsi"/>
            <w:noProof/>
            <w:sz w:val="18"/>
            <w:szCs w:val="18"/>
          </w:rPr>
          <w:fldChar w:fldCharType="end"/>
        </w:r>
      </w:sdtContent>
    </w:sdt>
  </w:p>
  <w:p w:rsidR="007110D8" w:rsidRPr="00156ADE" w:rsidRDefault="007110D8" w:rsidP="00242760">
    <w:pPr>
      <w:pStyle w:val="Footer"/>
      <w:spacing w:line="200" w:lineRule="atLeast"/>
      <w:rPr>
        <w:rFonts w:asciiTheme="majorHAnsi" w:hAnsiTheme="majorHAnsi" w:cstheme="majorHAnsi"/>
        <w:noProof/>
        <w:sz w:val="18"/>
        <w:szCs w:val="18"/>
      </w:rPr>
    </w:pPr>
    <w:r w:rsidRPr="00156ADE">
      <w:rPr>
        <w:rFonts w:asciiTheme="majorHAnsi" w:hAnsiTheme="majorHAnsi" w:cstheme="majorHAnsi"/>
        <w:sz w:val="18"/>
        <w:szCs w:val="18"/>
      </w:rPr>
      <w:t xml:space="preserve">Manitoba Hydro International Ltd </w:t>
    </w:r>
  </w:p>
  <w:p w:rsidR="007110D8" w:rsidRPr="00156ADE" w:rsidRDefault="007110D8" w:rsidP="00242760">
    <w:pPr>
      <w:pStyle w:val="Footer"/>
      <w:spacing w:line="200" w:lineRule="atLeast"/>
      <w:rPr>
        <w:rFonts w:asciiTheme="majorHAnsi" w:hAnsiTheme="majorHAnsi" w:cstheme="majorHAnsi"/>
        <w:sz w:val="18"/>
        <w:szCs w:val="18"/>
      </w:rPr>
    </w:pPr>
    <w:r>
      <w:rPr>
        <w:rFonts w:asciiTheme="majorHAnsi" w:hAnsiTheme="majorHAnsi" w:cstheme="majorHAnsi"/>
        <w:sz w:val="18"/>
        <w:szCs w:val="18"/>
      </w:rPr>
      <w:t>February 4, 2014</w:t>
    </w:r>
  </w:p>
  <w:p w:rsidR="007110D8" w:rsidRPr="00242760" w:rsidRDefault="007110D8" w:rsidP="00242760">
    <w:pPr>
      <w:pStyle w:val="Footer"/>
    </w:pPr>
  </w:p>
  <w:p w:rsidR="007110D8" w:rsidRDefault="007110D8"/>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0D8" w:rsidRPr="00156ADE" w:rsidRDefault="007110D8" w:rsidP="00E622A5">
    <w:pPr>
      <w:pStyle w:val="Footer"/>
      <w:pBdr>
        <w:top w:val="single" w:sz="4" w:space="1" w:color="auto"/>
      </w:pBdr>
      <w:tabs>
        <w:tab w:val="clear" w:pos="8640"/>
        <w:tab w:val="right" w:pos="9090"/>
      </w:tabs>
      <w:spacing w:line="200" w:lineRule="atLeast"/>
      <w:rPr>
        <w:rFonts w:asciiTheme="majorHAnsi" w:hAnsiTheme="majorHAnsi" w:cstheme="majorHAnsi"/>
        <w:sz w:val="18"/>
        <w:szCs w:val="18"/>
      </w:rPr>
    </w:pPr>
    <w:r w:rsidRPr="00E622A5">
      <w:rPr>
        <w:rFonts w:asciiTheme="majorHAnsi" w:hAnsiTheme="majorHAnsi" w:cstheme="majorHAnsi"/>
        <w:sz w:val="18"/>
        <w:szCs w:val="18"/>
      </w:rPr>
      <w:t>TCN Transmission System Development Plan</w:t>
    </w:r>
    <w:r>
      <w:rPr>
        <w:rFonts w:asciiTheme="majorHAnsi" w:hAnsiTheme="majorHAnsi" w:cstheme="majorHAnsi"/>
        <w:sz w:val="18"/>
        <w:szCs w:val="18"/>
      </w:rPr>
      <w:tab/>
    </w:r>
    <w:r w:rsidRPr="00156ADE">
      <w:rPr>
        <w:rFonts w:asciiTheme="majorHAnsi" w:hAnsiTheme="majorHAnsi" w:cstheme="majorHAnsi"/>
        <w:sz w:val="18"/>
        <w:szCs w:val="18"/>
      </w:rPr>
      <w:tab/>
    </w:r>
  </w:p>
  <w:p w:rsidR="007110D8" w:rsidRPr="00156ADE" w:rsidRDefault="007110D8" w:rsidP="00242760">
    <w:pPr>
      <w:pStyle w:val="Footer"/>
      <w:spacing w:line="200" w:lineRule="atLeast"/>
      <w:rPr>
        <w:rFonts w:asciiTheme="majorHAnsi" w:hAnsiTheme="majorHAnsi" w:cstheme="majorHAnsi"/>
        <w:noProof/>
        <w:sz w:val="18"/>
        <w:szCs w:val="18"/>
      </w:rPr>
    </w:pPr>
    <w:r w:rsidRPr="00156ADE">
      <w:rPr>
        <w:rFonts w:asciiTheme="majorHAnsi" w:hAnsiTheme="majorHAnsi" w:cstheme="majorHAnsi"/>
        <w:sz w:val="18"/>
        <w:szCs w:val="18"/>
      </w:rPr>
      <w:t xml:space="preserve">Manitoba Hydro International Ltd </w:t>
    </w:r>
  </w:p>
  <w:p w:rsidR="007110D8" w:rsidRDefault="007110D8" w:rsidP="00242760">
    <w:pPr>
      <w:pStyle w:val="Footer"/>
      <w:rPr>
        <w:rFonts w:asciiTheme="majorHAnsi" w:hAnsiTheme="majorHAnsi" w:cstheme="majorHAnsi"/>
        <w:sz w:val="18"/>
        <w:szCs w:val="18"/>
      </w:rPr>
    </w:pPr>
  </w:p>
  <w:p w:rsidR="00F50EA6" w:rsidRPr="00242760" w:rsidRDefault="00F50EA6" w:rsidP="00242760">
    <w:pPr>
      <w:pStyle w:val="Footer"/>
    </w:pPr>
  </w:p>
  <w:p w:rsidR="007110D8" w:rsidRDefault="007110D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3C1D" w:rsidRDefault="007A3C1D">
      <w:r>
        <w:separator/>
      </w:r>
    </w:p>
    <w:p w:rsidR="007A3C1D" w:rsidRDefault="007A3C1D"/>
  </w:footnote>
  <w:footnote w:type="continuationSeparator" w:id="0">
    <w:p w:rsidR="007A3C1D" w:rsidRDefault="007A3C1D">
      <w:r>
        <w:continuationSeparator/>
      </w:r>
    </w:p>
    <w:p w:rsidR="007A3C1D" w:rsidRDefault="007A3C1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0D8" w:rsidRDefault="007110D8" w:rsidP="00516B8C">
    <w:pPr>
      <w:pStyle w:val="Header"/>
      <w:tabs>
        <w:tab w:val="left" w:pos="90"/>
      </w:tabs>
      <w:ind w:left="-144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0D8" w:rsidRDefault="007110D8" w:rsidP="00516B8C">
    <w:pPr>
      <w:pStyle w:val="Header"/>
      <w:ind w:left="-2160"/>
      <w:jc w:val="center"/>
    </w:pPr>
    <w:r>
      <w:rPr>
        <w:noProof/>
        <w:lang w:val="en-US"/>
      </w:rPr>
      <w:drawing>
        <wp:anchor distT="0" distB="0" distL="114300" distR="114300" simplePos="0" relativeHeight="251662848" behindDoc="1" locked="0" layoutInCell="1" allowOverlap="1">
          <wp:simplePos x="0" y="0"/>
          <wp:positionH relativeFrom="column">
            <wp:posOffset>-587375</wp:posOffset>
          </wp:positionH>
          <wp:positionV relativeFrom="paragraph">
            <wp:posOffset>-695325</wp:posOffset>
          </wp:positionV>
          <wp:extent cx="7258685" cy="1094740"/>
          <wp:effectExtent l="0" t="0" r="0" b="0"/>
          <wp:wrapTight wrapText="bothSides">
            <wp:wrapPolygon edited="0">
              <wp:start x="0" y="0"/>
              <wp:lineTo x="0" y="21049"/>
              <wp:lineTo x="21541" y="21049"/>
              <wp:lineTo x="21541" y="0"/>
              <wp:lineTo x="0" y="0"/>
            </wp:wrapPolygon>
          </wp:wrapTight>
          <wp:docPr id="15" name="Picture 15" descr="MHI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HI_Header"/>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58685" cy="109474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0D8" w:rsidRPr="00242760" w:rsidRDefault="007110D8" w:rsidP="00242760">
    <w:pPr>
      <w:pStyle w:val="Header"/>
    </w:pPr>
    <w:r>
      <w:rPr>
        <w:noProof/>
        <w:lang w:val="en-US"/>
      </w:rPr>
      <w:drawing>
        <wp:anchor distT="0" distB="0" distL="114300" distR="114300" simplePos="0" relativeHeight="251668992" behindDoc="1" locked="0" layoutInCell="1" allowOverlap="1">
          <wp:simplePos x="0" y="0"/>
          <wp:positionH relativeFrom="column">
            <wp:posOffset>-780415</wp:posOffset>
          </wp:positionH>
          <wp:positionV relativeFrom="paragraph">
            <wp:posOffset>-365760</wp:posOffset>
          </wp:positionV>
          <wp:extent cx="7258685" cy="1094740"/>
          <wp:effectExtent l="0" t="0" r="0" b="0"/>
          <wp:wrapTight wrapText="bothSides">
            <wp:wrapPolygon edited="0">
              <wp:start x="0" y="0"/>
              <wp:lineTo x="0" y="21049"/>
              <wp:lineTo x="21541" y="21049"/>
              <wp:lineTo x="21541" y="0"/>
              <wp:lineTo x="0" y="0"/>
            </wp:wrapPolygon>
          </wp:wrapTight>
          <wp:docPr id="10" name="Picture 10" descr="MHI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HI_Header"/>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58685" cy="1094740"/>
                  </a:xfrm>
                  <a:prstGeom prst="rect">
                    <a:avLst/>
                  </a:prstGeom>
                  <a:noFill/>
                  <a:ln>
                    <a:noFill/>
                  </a:ln>
                </pic:spPr>
              </pic:pic>
            </a:graphicData>
          </a:graphic>
        </wp:anchor>
      </w:drawing>
    </w:r>
  </w:p>
  <w:p w:rsidR="007110D8" w:rsidRDefault="007110D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283E5AC0"/>
    <w:lvl w:ilvl="0">
      <w:start w:val="1"/>
      <w:numFmt w:val="bullet"/>
      <w:pStyle w:val="BulletInset"/>
      <w:lvlText w:val=""/>
      <w:lvlJc w:val="left"/>
      <w:pPr>
        <w:tabs>
          <w:tab w:val="num" w:pos="720"/>
        </w:tabs>
        <w:ind w:left="720" w:hanging="360"/>
      </w:pPr>
      <w:rPr>
        <w:rFonts w:ascii="Symbol" w:hAnsi="Symbol" w:hint="default"/>
      </w:rPr>
    </w:lvl>
  </w:abstractNum>
  <w:abstractNum w:abstractNumId="1">
    <w:nsid w:val="02065AF2"/>
    <w:multiLevelType w:val="hybridMultilevel"/>
    <w:tmpl w:val="944EFB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B586148"/>
    <w:multiLevelType w:val="hybridMultilevel"/>
    <w:tmpl w:val="BDB08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426F1B"/>
    <w:multiLevelType w:val="multilevel"/>
    <w:tmpl w:val="A4D071BA"/>
    <w:lvl w:ilvl="0">
      <w:start w:val="1"/>
      <w:numFmt w:val="decimal"/>
      <w:lvlText w:val="%1."/>
      <w:lvlJc w:val="left"/>
      <w:pPr>
        <w:ind w:left="360" w:hanging="360"/>
      </w:pPr>
    </w:lvl>
    <w:lvl w:ilvl="1">
      <w:start w:val="1"/>
      <w:numFmt w:val="decimal"/>
      <w:lvlText w:val="%1.%2."/>
      <w:lvlJc w:val="left"/>
      <w:pPr>
        <w:ind w:left="792" w:hanging="432"/>
      </w:pPr>
    </w:lvl>
    <w:lvl w:ilvl="2">
      <w:start w:val="1"/>
      <w:numFmt w:val="upperLetter"/>
      <w:lvlText w:val="%3."/>
      <w:lvlJc w:val="left"/>
      <w:pPr>
        <w:ind w:left="1224" w:hanging="504"/>
      </w:p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D6188B"/>
    <w:multiLevelType w:val="hybridMultilevel"/>
    <w:tmpl w:val="9CAAA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F47AA0"/>
    <w:multiLevelType w:val="multilevel"/>
    <w:tmpl w:val="A4D071BA"/>
    <w:lvl w:ilvl="0">
      <w:start w:val="1"/>
      <w:numFmt w:val="decimal"/>
      <w:lvlText w:val="%1."/>
      <w:lvlJc w:val="left"/>
      <w:pPr>
        <w:ind w:left="360" w:hanging="360"/>
      </w:pPr>
    </w:lvl>
    <w:lvl w:ilvl="1">
      <w:start w:val="1"/>
      <w:numFmt w:val="decimal"/>
      <w:lvlText w:val="%1.%2."/>
      <w:lvlJc w:val="left"/>
      <w:pPr>
        <w:ind w:left="792" w:hanging="432"/>
      </w:pPr>
    </w:lvl>
    <w:lvl w:ilvl="2">
      <w:start w:val="1"/>
      <w:numFmt w:val="upperLetter"/>
      <w:lvlText w:val="%3."/>
      <w:lvlJc w:val="left"/>
      <w:pPr>
        <w:ind w:left="1224" w:hanging="504"/>
      </w:p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562112F"/>
    <w:multiLevelType w:val="multilevel"/>
    <w:tmpl w:val="F29A9998"/>
    <w:lvl w:ilvl="0">
      <w:start w:val="1"/>
      <w:numFmt w:val="decimal"/>
      <w:pStyle w:val="Heading1"/>
      <w:lvlText w:val="%1.0"/>
      <w:lvlJc w:val="left"/>
      <w:pPr>
        <w:tabs>
          <w:tab w:val="num" w:pos="720"/>
        </w:tabs>
        <w:ind w:left="720" w:hanging="720"/>
      </w:pPr>
      <w:rPr>
        <w:rFonts w:asciiTheme="majorHAnsi" w:hAnsiTheme="majorHAnsi" w:hint="default"/>
      </w:rPr>
    </w:lvl>
    <w:lvl w:ilvl="1">
      <w:start w:val="1"/>
      <w:numFmt w:val="decimal"/>
      <w:pStyle w:val="Heading2"/>
      <w:lvlText w:val="%1.%2."/>
      <w:lvlJc w:val="left"/>
      <w:pPr>
        <w:tabs>
          <w:tab w:val="num" w:pos="720"/>
        </w:tabs>
        <w:ind w:left="720" w:hanging="720"/>
      </w:pPr>
      <w:rPr>
        <w:rFonts w:hint="default"/>
        <w:b/>
        <w:color w:val="000000" w:themeColor="text1"/>
      </w:rPr>
    </w:lvl>
    <w:lvl w:ilvl="2">
      <w:start w:val="1"/>
      <w:numFmt w:val="decimal"/>
      <w:pStyle w:val="Heading3"/>
      <w:lvlText w:val="%1.%2.%3."/>
      <w:lvlJc w:val="left"/>
      <w:pPr>
        <w:tabs>
          <w:tab w:val="num" w:pos="1440"/>
        </w:tabs>
        <w:ind w:left="1440" w:hanging="720"/>
      </w:pPr>
      <w:rPr>
        <w:rFonts w:hint="default"/>
      </w:rPr>
    </w:lvl>
    <w:lvl w:ilvl="3">
      <w:start w:val="1"/>
      <w:numFmt w:val="none"/>
      <w:lvlText w:val=""/>
      <w:lvlJc w:val="left"/>
      <w:pPr>
        <w:tabs>
          <w:tab w:val="num" w:pos="0"/>
        </w:tabs>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nsid w:val="17EC713A"/>
    <w:multiLevelType w:val="hybridMultilevel"/>
    <w:tmpl w:val="FA3A12A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1B292B62"/>
    <w:multiLevelType w:val="hybridMultilevel"/>
    <w:tmpl w:val="7CE02C98"/>
    <w:lvl w:ilvl="0" w:tplc="1009000F">
      <w:start w:val="6"/>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9">
    <w:nsid w:val="1D4C2857"/>
    <w:multiLevelType w:val="hybridMultilevel"/>
    <w:tmpl w:val="A00C7672"/>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nsid w:val="1E4B578D"/>
    <w:multiLevelType w:val="hybridMultilevel"/>
    <w:tmpl w:val="EA8206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28160ADE"/>
    <w:multiLevelType w:val="hybridMultilevel"/>
    <w:tmpl w:val="D7C2AC0C"/>
    <w:lvl w:ilvl="0" w:tplc="BC6878AE">
      <w:start w:val="1"/>
      <w:numFmt w:val="upperLetter"/>
      <w:pStyle w:val="AppendixHeading"/>
      <w:lvlText w:val="Appendix %1"/>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577AA"/>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B411B8C"/>
    <w:multiLevelType w:val="hybridMultilevel"/>
    <w:tmpl w:val="EFC87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3B5AD9"/>
    <w:multiLevelType w:val="hybridMultilevel"/>
    <w:tmpl w:val="ED9AD1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336F5701"/>
    <w:multiLevelType w:val="hybridMultilevel"/>
    <w:tmpl w:val="72C6A1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BD1C65"/>
    <w:multiLevelType w:val="hybridMultilevel"/>
    <w:tmpl w:val="A796BD46"/>
    <w:lvl w:ilvl="0" w:tplc="FAE27B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D34461F"/>
    <w:multiLevelType w:val="hybridMultilevel"/>
    <w:tmpl w:val="ABA09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F30C9A"/>
    <w:multiLevelType w:val="hybridMultilevel"/>
    <w:tmpl w:val="4A589B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43FC6B7D"/>
    <w:multiLevelType w:val="hybridMultilevel"/>
    <w:tmpl w:val="EE3E82C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DB40896"/>
    <w:multiLevelType w:val="hybridMultilevel"/>
    <w:tmpl w:val="DF94B2C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10002C5A">
      <w:start w:val="2"/>
      <w:numFmt w:val="bullet"/>
      <w:lvlText w:val="-"/>
      <w:lvlJc w:val="left"/>
      <w:pPr>
        <w:ind w:left="2160" w:hanging="360"/>
      </w:pPr>
      <w:rPr>
        <w:rFonts w:ascii="Arial Narrow" w:eastAsia="Times New Roman" w:hAnsi="Arial Narrow"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FA62932"/>
    <w:multiLevelType w:val="hybridMultilevel"/>
    <w:tmpl w:val="C2E4210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2">
    <w:nsid w:val="603F2401"/>
    <w:multiLevelType w:val="hybridMultilevel"/>
    <w:tmpl w:val="FF4CAFE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14A1D1B"/>
    <w:multiLevelType w:val="multilevel"/>
    <w:tmpl w:val="E97AA0D8"/>
    <w:lvl w:ilvl="0">
      <w:start w:val="1"/>
      <w:numFmt w:val="decimal"/>
      <w:lvlText w:val="%1."/>
      <w:lvlJc w:val="left"/>
      <w:pPr>
        <w:ind w:left="360" w:hanging="360"/>
      </w:pPr>
    </w:lvl>
    <w:lvl w:ilvl="1">
      <w:start w:val="1"/>
      <w:numFmt w:val="decimal"/>
      <w:lvlText w:val="%1.%2."/>
      <w:lvlJc w:val="left"/>
      <w:pPr>
        <w:ind w:left="792" w:hanging="432"/>
      </w:pPr>
    </w:lvl>
    <w:lvl w:ilvl="2">
      <w:start w:val="1"/>
      <w:numFmt w:val="upp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56B0E0D"/>
    <w:multiLevelType w:val="multilevel"/>
    <w:tmpl w:val="A4D071BA"/>
    <w:lvl w:ilvl="0">
      <w:start w:val="1"/>
      <w:numFmt w:val="decimal"/>
      <w:lvlText w:val="%1."/>
      <w:lvlJc w:val="left"/>
      <w:pPr>
        <w:ind w:left="360" w:hanging="360"/>
      </w:pPr>
    </w:lvl>
    <w:lvl w:ilvl="1">
      <w:start w:val="1"/>
      <w:numFmt w:val="decimal"/>
      <w:lvlText w:val="%1.%2."/>
      <w:lvlJc w:val="left"/>
      <w:pPr>
        <w:ind w:left="792" w:hanging="432"/>
      </w:pPr>
    </w:lvl>
    <w:lvl w:ilvl="2">
      <w:start w:val="1"/>
      <w:numFmt w:val="upperLetter"/>
      <w:lvlText w:val="%3."/>
      <w:lvlJc w:val="left"/>
      <w:pPr>
        <w:ind w:left="1224" w:hanging="504"/>
      </w:p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8AD0B2B"/>
    <w:multiLevelType w:val="multilevel"/>
    <w:tmpl w:val="A4D071BA"/>
    <w:lvl w:ilvl="0">
      <w:start w:val="1"/>
      <w:numFmt w:val="decimal"/>
      <w:lvlText w:val="%1."/>
      <w:lvlJc w:val="left"/>
      <w:pPr>
        <w:ind w:left="360" w:hanging="360"/>
      </w:pPr>
    </w:lvl>
    <w:lvl w:ilvl="1">
      <w:start w:val="1"/>
      <w:numFmt w:val="decimal"/>
      <w:lvlText w:val="%1.%2."/>
      <w:lvlJc w:val="left"/>
      <w:pPr>
        <w:ind w:left="792" w:hanging="432"/>
      </w:pPr>
    </w:lvl>
    <w:lvl w:ilvl="2">
      <w:start w:val="1"/>
      <w:numFmt w:val="upperLetter"/>
      <w:lvlText w:val="%3."/>
      <w:lvlJc w:val="left"/>
      <w:pPr>
        <w:ind w:left="1224" w:hanging="504"/>
      </w:p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EB8556E"/>
    <w:multiLevelType w:val="hybridMultilevel"/>
    <w:tmpl w:val="71F67EFC"/>
    <w:lvl w:ilvl="0" w:tplc="2B6E7EDA">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nsid w:val="77FB3260"/>
    <w:multiLevelType w:val="hybridMultilevel"/>
    <w:tmpl w:val="B688073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nsid w:val="7BE9744E"/>
    <w:multiLevelType w:val="multilevel"/>
    <w:tmpl w:val="41A858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7D2F3963"/>
    <w:multiLevelType w:val="hybridMultilevel"/>
    <w:tmpl w:val="84C2A962"/>
    <w:lvl w:ilvl="0" w:tplc="04090015">
      <w:start w:val="1"/>
      <w:numFmt w:val="upperLetter"/>
      <w:lvlText w:val="%1."/>
      <w:lvlJc w:val="left"/>
      <w:pPr>
        <w:ind w:left="1440" w:hanging="360"/>
      </w:pPr>
    </w:lvl>
    <w:lvl w:ilvl="1" w:tplc="10090019">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30">
    <w:nsid w:val="7FD31672"/>
    <w:multiLevelType w:val="hybridMultilevel"/>
    <w:tmpl w:val="A194431E"/>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6"/>
  </w:num>
  <w:num w:numId="3">
    <w:abstractNumId w:val="22"/>
  </w:num>
  <w:num w:numId="4">
    <w:abstractNumId w:val="3"/>
  </w:num>
  <w:num w:numId="5">
    <w:abstractNumId w:val="23"/>
  </w:num>
  <w:num w:numId="6">
    <w:abstractNumId w:val="18"/>
  </w:num>
  <w:num w:numId="7">
    <w:abstractNumId w:val="24"/>
  </w:num>
  <w:num w:numId="8">
    <w:abstractNumId w:val="5"/>
  </w:num>
  <w:num w:numId="9">
    <w:abstractNumId w:val="25"/>
  </w:num>
  <w:num w:numId="10">
    <w:abstractNumId w:val="19"/>
  </w:num>
  <w:num w:numId="11">
    <w:abstractNumId w:val="16"/>
  </w:num>
  <w:num w:numId="12">
    <w:abstractNumId w:val="7"/>
  </w:num>
  <w:num w:numId="13">
    <w:abstractNumId w:val="10"/>
  </w:num>
  <w:num w:numId="14">
    <w:abstractNumId w:val="1"/>
  </w:num>
  <w:num w:numId="15">
    <w:abstractNumId w:val="21"/>
  </w:num>
  <w:num w:numId="16">
    <w:abstractNumId w:val="30"/>
  </w:num>
  <w:num w:numId="17">
    <w:abstractNumId w:val="29"/>
  </w:num>
  <w:num w:numId="18">
    <w:abstractNumId w:val="26"/>
  </w:num>
  <w:num w:numId="19">
    <w:abstractNumId w:val="28"/>
  </w:num>
  <w:num w:numId="20">
    <w:abstractNumId w:val="9"/>
  </w:num>
  <w:num w:numId="21">
    <w:abstractNumId w:val="20"/>
  </w:num>
  <w:num w:numId="22">
    <w:abstractNumId w:val="12"/>
  </w:num>
  <w:num w:numId="23">
    <w:abstractNumId w:val="6"/>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27"/>
  </w:num>
  <w:num w:numId="27">
    <w:abstractNumId w:val="6"/>
  </w:num>
  <w:num w:numId="28">
    <w:abstractNumId w:val="14"/>
  </w:num>
  <w:num w:numId="29">
    <w:abstractNumId w:val="4"/>
  </w:num>
  <w:num w:numId="30">
    <w:abstractNumId w:val="15"/>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2"/>
  </w:num>
  <w:num w:numId="34">
    <w:abstractNumId w:val="13"/>
  </w:num>
  <w:num w:numId="35">
    <w:abstractNumId w:val="11"/>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001"/>
  <w:defaultTabStop w:val="720"/>
  <w:noPunctuationKerning/>
  <w:characterSpacingControl w:val="doNotCompress"/>
  <w:hdrShapeDefaults>
    <o:shapedefaults v:ext="edit" spidmax="23554"/>
  </w:hdrShapeDefaults>
  <w:footnotePr>
    <w:footnote w:id="-1"/>
    <w:footnote w:id="0"/>
  </w:footnotePr>
  <w:endnotePr>
    <w:endnote w:id="-1"/>
    <w:endnote w:id="0"/>
  </w:endnotePr>
  <w:compat>
    <w:doNotExpandShiftReturn/>
    <w:useFELayout/>
  </w:compat>
  <w:rsids>
    <w:rsidRoot w:val="00765366"/>
    <w:rsid w:val="0000010F"/>
    <w:rsid w:val="000019A8"/>
    <w:rsid w:val="00006204"/>
    <w:rsid w:val="00012A94"/>
    <w:rsid w:val="00016A09"/>
    <w:rsid w:val="000207DE"/>
    <w:rsid w:val="00025A32"/>
    <w:rsid w:val="0002728C"/>
    <w:rsid w:val="000277F3"/>
    <w:rsid w:val="00033999"/>
    <w:rsid w:val="00044475"/>
    <w:rsid w:val="0005318A"/>
    <w:rsid w:val="00054139"/>
    <w:rsid w:val="00056504"/>
    <w:rsid w:val="000660CA"/>
    <w:rsid w:val="00067C48"/>
    <w:rsid w:val="000801ED"/>
    <w:rsid w:val="000809A5"/>
    <w:rsid w:val="00081B94"/>
    <w:rsid w:val="0008720A"/>
    <w:rsid w:val="000942AC"/>
    <w:rsid w:val="000A4CC9"/>
    <w:rsid w:val="000B02C5"/>
    <w:rsid w:val="000C5F62"/>
    <w:rsid w:val="000C64D5"/>
    <w:rsid w:val="000D1159"/>
    <w:rsid w:val="000E0A24"/>
    <w:rsid w:val="000F1EA2"/>
    <w:rsid w:val="000F2C65"/>
    <w:rsid w:val="001039B4"/>
    <w:rsid w:val="00110AE7"/>
    <w:rsid w:val="00121A3A"/>
    <w:rsid w:val="00122FD7"/>
    <w:rsid w:val="00124A35"/>
    <w:rsid w:val="001261FE"/>
    <w:rsid w:val="00140FCB"/>
    <w:rsid w:val="00142A38"/>
    <w:rsid w:val="00143DBB"/>
    <w:rsid w:val="001451E6"/>
    <w:rsid w:val="0014586C"/>
    <w:rsid w:val="001474C1"/>
    <w:rsid w:val="00156ADE"/>
    <w:rsid w:val="00157417"/>
    <w:rsid w:val="00164117"/>
    <w:rsid w:val="00166942"/>
    <w:rsid w:val="00167D62"/>
    <w:rsid w:val="001720B1"/>
    <w:rsid w:val="00172B56"/>
    <w:rsid w:val="0018026B"/>
    <w:rsid w:val="001823FE"/>
    <w:rsid w:val="00182D47"/>
    <w:rsid w:val="00183C56"/>
    <w:rsid w:val="00193377"/>
    <w:rsid w:val="00195D5B"/>
    <w:rsid w:val="00195F93"/>
    <w:rsid w:val="00196CEC"/>
    <w:rsid w:val="001A4DAA"/>
    <w:rsid w:val="001B239B"/>
    <w:rsid w:val="001C158A"/>
    <w:rsid w:val="001C1CD6"/>
    <w:rsid w:val="001C2D6E"/>
    <w:rsid w:val="001C4DE9"/>
    <w:rsid w:val="001C5ED0"/>
    <w:rsid w:val="001E77C9"/>
    <w:rsid w:val="001F3D9A"/>
    <w:rsid w:val="001F47DC"/>
    <w:rsid w:val="001F51F5"/>
    <w:rsid w:val="002004DE"/>
    <w:rsid w:val="002029FB"/>
    <w:rsid w:val="00224A16"/>
    <w:rsid w:val="00225C54"/>
    <w:rsid w:val="002278F1"/>
    <w:rsid w:val="00230E8E"/>
    <w:rsid w:val="002337CA"/>
    <w:rsid w:val="00234064"/>
    <w:rsid w:val="002346D9"/>
    <w:rsid w:val="00241D1E"/>
    <w:rsid w:val="00242760"/>
    <w:rsid w:val="00246898"/>
    <w:rsid w:val="002502A0"/>
    <w:rsid w:val="0025419C"/>
    <w:rsid w:val="00280B86"/>
    <w:rsid w:val="002816CF"/>
    <w:rsid w:val="00282EDC"/>
    <w:rsid w:val="00283661"/>
    <w:rsid w:val="00286DEB"/>
    <w:rsid w:val="0028757E"/>
    <w:rsid w:val="002958FE"/>
    <w:rsid w:val="002A3129"/>
    <w:rsid w:val="002A431F"/>
    <w:rsid w:val="002A71C5"/>
    <w:rsid w:val="002C281A"/>
    <w:rsid w:val="002C3971"/>
    <w:rsid w:val="002C6763"/>
    <w:rsid w:val="002D2FD5"/>
    <w:rsid w:val="002D5E5A"/>
    <w:rsid w:val="002E2BF1"/>
    <w:rsid w:val="002E4CA1"/>
    <w:rsid w:val="002E5B3D"/>
    <w:rsid w:val="002E7F25"/>
    <w:rsid w:val="002F147D"/>
    <w:rsid w:val="002F419B"/>
    <w:rsid w:val="00306B35"/>
    <w:rsid w:val="00311147"/>
    <w:rsid w:val="00312DB0"/>
    <w:rsid w:val="00320A2D"/>
    <w:rsid w:val="003212B2"/>
    <w:rsid w:val="00327ADA"/>
    <w:rsid w:val="00336AB2"/>
    <w:rsid w:val="00353A48"/>
    <w:rsid w:val="00355D9E"/>
    <w:rsid w:val="00362877"/>
    <w:rsid w:val="00362D04"/>
    <w:rsid w:val="00367922"/>
    <w:rsid w:val="00376749"/>
    <w:rsid w:val="00377F6A"/>
    <w:rsid w:val="003920CE"/>
    <w:rsid w:val="003A12C2"/>
    <w:rsid w:val="003B1FD4"/>
    <w:rsid w:val="003B4DAD"/>
    <w:rsid w:val="003B5355"/>
    <w:rsid w:val="003B5D63"/>
    <w:rsid w:val="003B5FC5"/>
    <w:rsid w:val="003B7401"/>
    <w:rsid w:val="003B7668"/>
    <w:rsid w:val="003C03E4"/>
    <w:rsid w:val="003C7DB0"/>
    <w:rsid w:val="003D0176"/>
    <w:rsid w:val="003E2739"/>
    <w:rsid w:val="003E57FB"/>
    <w:rsid w:val="003E649B"/>
    <w:rsid w:val="003F429B"/>
    <w:rsid w:val="00402A44"/>
    <w:rsid w:val="00405A08"/>
    <w:rsid w:val="004077E4"/>
    <w:rsid w:val="00412FF6"/>
    <w:rsid w:val="0041589E"/>
    <w:rsid w:val="00420EA6"/>
    <w:rsid w:val="00424209"/>
    <w:rsid w:val="00431272"/>
    <w:rsid w:val="004362B9"/>
    <w:rsid w:val="00440D0E"/>
    <w:rsid w:val="004421A6"/>
    <w:rsid w:val="00444D53"/>
    <w:rsid w:val="00444F91"/>
    <w:rsid w:val="00445096"/>
    <w:rsid w:val="00450A6A"/>
    <w:rsid w:val="004567A1"/>
    <w:rsid w:val="004625FF"/>
    <w:rsid w:val="0046279C"/>
    <w:rsid w:val="00463F7B"/>
    <w:rsid w:val="004662CF"/>
    <w:rsid w:val="0046698B"/>
    <w:rsid w:val="00471EE2"/>
    <w:rsid w:val="00480990"/>
    <w:rsid w:val="004819AF"/>
    <w:rsid w:val="00481B3F"/>
    <w:rsid w:val="00482AA8"/>
    <w:rsid w:val="004859F4"/>
    <w:rsid w:val="00487AB3"/>
    <w:rsid w:val="004911D2"/>
    <w:rsid w:val="00491979"/>
    <w:rsid w:val="00492AAA"/>
    <w:rsid w:val="004935AC"/>
    <w:rsid w:val="00493E33"/>
    <w:rsid w:val="004959C4"/>
    <w:rsid w:val="004969B8"/>
    <w:rsid w:val="004A4583"/>
    <w:rsid w:val="004A5831"/>
    <w:rsid w:val="004A5900"/>
    <w:rsid w:val="004B49AB"/>
    <w:rsid w:val="004C214D"/>
    <w:rsid w:val="004C3224"/>
    <w:rsid w:val="004C6B7B"/>
    <w:rsid w:val="004D20A2"/>
    <w:rsid w:val="004D5BAE"/>
    <w:rsid w:val="004D7CD7"/>
    <w:rsid w:val="004E13E6"/>
    <w:rsid w:val="004E1998"/>
    <w:rsid w:val="00503EF8"/>
    <w:rsid w:val="0050430D"/>
    <w:rsid w:val="005068B0"/>
    <w:rsid w:val="00506926"/>
    <w:rsid w:val="00512DC1"/>
    <w:rsid w:val="005144C6"/>
    <w:rsid w:val="00516B8C"/>
    <w:rsid w:val="00526BFD"/>
    <w:rsid w:val="005279F3"/>
    <w:rsid w:val="00532409"/>
    <w:rsid w:val="0053518F"/>
    <w:rsid w:val="0053525A"/>
    <w:rsid w:val="00535E36"/>
    <w:rsid w:val="00536879"/>
    <w:rsid w:val="00542C26"/>
    <w:rsid w:val="00554046"/>
    <w:rsid w:val="00555D68"/>
    <w:rsid w:val="0055649C"/>
    <w:rsid w:val="0056026E"/>
    <w:rsid w:val="00571C01"/>
    <w:rsid w:val="00571F26"/>
    <w:rsid w:val="005775D1"/>
    <w:rsid w:val="00580F9B"/>
    <w:rsid w:val="005852E8"/>
    <w:rsid w:val="00592F4E"/>
    <w:rsid w:val="0059541F"/>
    <w:rsid w:val="005A403D"/>
    <w:rsid w:val="005A7A1C"/>
    <w:rsid w:val="005B145D"/>
    <w:rsid w:val="005B329F"/>
    <w:rsid w:val="005B4CAB"/>
    <w:rsid w:val="005B508E"/>
    <w:rsid w:val="005B5B3F"/>
    <w:rsid w:val="005C37C7"/>
    <w:rsid w:val="005C599B"/>
    <w:rsid w:val="005D1D18"/>
    <w:rsid w:val="005D45BE"/>
    <w:rsid w:val="005D6D55"/>
    <w:rsid w:val="005E3A24"/>
    <w:rsid w:val="005F3CDD"/>
    <w:rsid w:val="005F5A13"/>
    <w:rsid w:val="005F600B"/>
    <w:rsid w:val="006009E6"/>
    <w:rsid w:val="006058E0"/>
    <w:rsid w:val="00607C05"/>
    <w:rsid w:val="006133B5"/>
    <w:rsid w:val="00616AFD"/>
    <w:rsid w:val="00620E6F"/>
    <w:rsid w:val="00621F0C"/>
    <w:rsid w:val="00622B04"/>
    <w:rsid w:val="00624453"/>
    <w:rsid w:val="00625F8E"/>
    <w:rsid w:val="00631A60"/>
    <w:rsid w:val="00632C94"/>
    <w:rsid w:val="00635BA4"/>
    <w:rsid w:val="00641169"/>
    <w:rsid w:val="006454E9"/>
    <w:rsid w:val="00646A37"/>
    <w:rsid w:val="0065146F"/>
    <w:rsid w:val="006565AD"/>
    <w:rsid w:val="006650B2"/>
    <w:rsid w:val="006908E0"/>
    <w:rsid w:val="006935E1"/>
    <w:rsid w:val="006940DB"/>
    <w:rsid w:val="00694477"/>
    <w:rsid w:val="00694B90"/>
    <w:rsid w:val="00697529"/>
    <w:rsid w:val="006B1DDB"/>
    <w:rsid w:val="006C3CAA"/>
    <w:rsid w:val="006D5A4C"/>
    <w:rsid w:val="006D6D18"/>
    <w:rsid w:val="006D73C0"/>
    <w:rsid w:val="006D7424"/>
    <w:rsid w:val="006E0084"/>
    <w:rsid w:val="006E0235"/>
    <w:rsid w:val="006F17C0"/>
    <w:rsid w:val="007021E1"/>
    <w:rsid w:val="007110D8"/>
    <w:rsid w:val="00712CDB"/>
    <w:rsid w:val="00714A27"/>
    <w:rsid w:val="00717EC9"/>
    <w:rsid w:val="00722CD9"/>
    <w:rsid w:val="00735DFD"/>
    <w:rsid w:val="0074175C"/>
    <w:rsid w:val="00743A56"/>
    <w:rsid w:val="00744641"/>
    <w:rsid w:val="00744948"/>
    <w:rsid w:val="0074519A"/>
    <w:rsid w:val="00747E1B"/>
    <w:rsid w:val="007542C0"/>
    <w:rsid w:val="00757DA4"/>
    <w:rsid w:val="00761784"/>
    <w:rsid w:val="00761968"/>
    <w:rsid w:val="00763061"/>
    <w:rsid w:val="00764937"/>
    <w:rsid w:val="00765366"/>
    <w:rsid w:val="00766C3F"/>
    <w:rsid w:val="00780D06"/>
    <w:rsid w:val="007836F6"/>
    <w:rsid w:val="0078381A"/>
    <w:rsid w:val="00793638"/>
    <w:rsid w:val="00794C98"/>
    <w:rsid w:val="007957B4"/>
    <w:rsid w:val="00797E98"/>
    <w:rsid w:val="007A11B3"/>
    <w:rsid w:val="007A3C1D"/>
    <w:rsid w:val="007A69A8"/>
    <w:rsid w:val="007B0F2E"/>
    <w:rsid w:val="007B4B39"/>
    <w:rsid w:val="007B4C4C"/>
    <w:rsid w:val="007C6BBA"/>
    <w:rsid w:val="007D13C8"/>
    <w:rsid w:val="007D3DF3"/>
    <w:rsid w:val="007D400A"/>
    <w:rsid w:val="007D4919"/>
    <w:rsid w:val="007E1E5F"/>
    <w:rsid w:val="007E2076"/>
    <w:rsid w:val="007E3E0B"/>
    <w:rsid w:val="007E4174"/>
    <w:rsid w:val="007E5231"/>
    <w:rsid w:val="007E6975"/>
    <w:rsid w:val="007F2AE5"/>
    <w:rsid w:val="008005CC"/>
    <w:rsid w:val="00800E29"/>
    <w:rsid w:val="00805DDE"/>
    <w:rsid w:val="00811622"/>
    <w:rsid w:val="008120B8"/>
    <w:rsid w:val="00812CA9"/>
    <w:rsid w:val="00814775"/>
    <w:rsid w:val="00814913"/>
    <w:rsid w:val="00831224"/>
    <w:rsid w:val="008439B7"/>
    <w:rsid w:val="00855724"/>
    <w:rsid w:val="008570DC"/>
    <w:rsid w:val="0086192D"/>
    <w:rsid w:val="00874A9E"/>
    <w:rsid w:val="00877FC9"/>
    <w:rsid w:val="00880295"/>
    <w:rsid w:val="00883BD7"/>
    <w:rsid w:val="0088478F"/>
    <w:rsid w:val="00886270"/>
    <w:rsid w:val="00887297"/>
    <w:rsid w:val="008921B4"/>
    <w:rsid w:val="008924CE"/>
    <w:rsid w:val="00893C78"/>
    <w:rsid w:val="00895015"/>
    <w:rsid w:val="008A44A2"/>
    <w:rsid w:val="008A4651"/>
    <w:rsid w:val="008B19DD"/>
    <w:rsid w:val="008B2190"/>
    <w:rsid w:val="008C04DE"/>
    <w:rsid w:val="008C3CCF"/>
    <w:rsid w:val="008C6229"/>
    <w:rsid w:val="008E30DF"/>
    <w:rsid w:val="008E4D04"/>
    <w:rsid w:val="008E630E"/>
    <w:rsid w:val="008F0360"/>
    <w:rsid w:val="008F4710"/>
    <w:rsid w:val="008F51AA"/>
    <w:rsid w:val="008F593A"/>
    <w:rsid w:val="008F7B68"/>
    <w:rsid w:val="00900545"/>
    <w:rsid w:val="009033C2"/>
    <w:rsid w:val="00903635"/>
    <w:rsid w:val="00904D77"/>
    <w:rsid w:val="00905B6D"/>
    <w:rsid w:val="00905BE1"/>
    <w:rsid w:val="00914832"/>
    <w:rsid w:val="00917E4D"/>
    <w:rsid w:val="00924435"/>
    <w:rsid w:val="00932619"/>
    <w:rsid w:val="00940557"/>
    <w:rsid w:val="0094084D"/>
    <w:rsid w:val="00940DEE"/>
    <w:rsid w:val="00942C8C"/>
    <w:rsid w:val="00944024"/>
    <w:rsid w:val="00954230"/>
    <w:rsid w:val="00954E64"/>
    <w:rsid w:val="00965A90"/>
    <w:rsid w:val="00967530"/>
    <w:rsid w:val="00970295"/>
    <w:rsid w:val="00970A19"/>
    <w:rsid w:val="0098103A"/>
    <w:rsid w:val="00981717"/>
    <w:rsid w:val="00983274"/>
    <w:rsid w:val="009909BA"/>
    <w:rsid w:val="0099216B"/>
    <w:rsid w:val="00993825"/>
    <w:rsid w:val="009A0CA8"/>
    <w:rsid w:val="009B7D81"/>
    <w:rsid w:val="009C00F5"/>
    <w:rsid w:val="009C0BFA"/>
    <w:rsid w:val="009C42B1"/>
    <w:rsid w:val="009C70B9"/>
    <w:rsid w:val="009D41B4"/>
    <w:rsid w:val="009D5BF5"/>
    <w:rsid w:val="009E4CF3"/>
    <w:rsid w:val="009F16F2"/>
    <w:rsid w:val="009F2B8B"/>
    <w:rsid w:val="009F2BD6"/>
    <w:rsid w:val="009F493D"/>
    <w:rsid w:val="00A06185"/>
    <w:rsid w:val="00A15602"/>
    <w:rsid w:val="00A15BC1"/>
    <w:rsid w:val="00A15FA7"/>
    <w:rsid w:val="00A35C51"/>
    <w:rsid w:val="00A421A2"/>
    <w:rsid w:val="00A513FA"/>
    <w:rsid w:val="00A51B61"/>
    <w:rsid w:val="00A529A5"/>
    <w:rsid w:val="00A5713D"/>
    <w:rsid w:val="00A64CF8"/>
    <w:rsid w:val="00A71EAD"/>
    <w:rsid w:val="00A73CF4"/>
    <w:rsid w:val="00A83BC7"/>
    <w:rsid w:val="00A8554C"/>
    <w:rsid w:val="00A91F08"/>
    <w:rsid w:val="00A928D0"/>
    <w:rsid w:val="00A930E6"/>
    <w:rsid w:val="00A93642"/>
    <w:rsid w:val="00A94065"/>
    <w:rsid w:val="00A95361"/>
    <w:rsid w:val="00A97DCA"/>
    <w:rsid w:val="00AA0C89"/>
    <w:rsid w:val="00AA3206"/>
    <w:rsid w:val="00AB7CEB"/>
    <w:rsid w:val="00AC04E4"/>
    <w:rsid w:val="00AC1927"/>
    <w:rsid w:val="00AC3D3B"/>
    <w:rsid w:val="00AD4A29"/>
    <w:rsid w:val="00AD622C"/>
    <w:rsid w:val="00AE0FB2"/>
    <w:rsid w:val="00AE201D"/>
    <w:rsid w:val="00AE396D"/>
    <w:rsid w:val="00AE448F"/>
    <w:rsid w:val="00AF39B7"/>
    <w:rsid w:val="00AF39C8"/>
    <w:rsid w:val="00AF4CA8"/>
    <w:rsid w:val="00B00A5C"/>
    <w:rsid w:val="00B00CBC"/>
    <w:rsid w:val="00B0726C"/>
    <w:rsid w:val="00B12C32"/>
    <w:rsid w:val="00B16868"/>
    <w:rsid w:val="00B21734"/>
    <w:rsid w:val="00B2235A"/>
    <w:rsid w:val="00B25523"/>
    <w:rsid w:val="00B311CA"/>
    <w:rsid w:val="00B32F42"/>
    <w:rsid w:val="00B33599"/>
    <w:rsid w:val="00B33902"/>
    <w:rsid w:val="00B36AC3"/>
    <w:rsid w:val="00B41418"/>
    <w:rsid w:val="00B43566"/>
    <w:rsid w:val="00B50A6B"/>
    <w:rsid w:val="00B54A05"/>
    <w:rsid w:val="00B6035E"/>
    <w:rsid w:val="00B66B2F"/>
    <w:rsid w:val="00B72FFC"/>
    <w:rsid w:val="00B75CE7"/>
    <w:rsid w:val="00B76470"/>
    <w:rsid w:val="00B83BED"/>
    <w:rsid w:val="00B865F0"/>
    <w:rsid w:val="00B9005A"/>
    <w:rsid w:val="00BB7042"/>
    <w:rsid w:val="00BB7782"/>
    <w:rsid w:val="00BC3975"/>
    <w:rsid w:val="00BC7D8C"/>
    <w:rsid w:val="00BD0C06"/>
    <w:rsid w:val="00BD1327"/>
    <w:rsid w:val="00BD29F5"/>
    <w:rsid w:val="00BD6C41"/>
    <w:rsid w:val="00BF06E4"/>
    <w:rsid w:val="00BF13E7"/>
    <w:rsid w:val="00BF4C67"/>
    <w:rsid w:val="00C013BF"/>
    <w:rsid w:val="00C013D5"/>
    <w:rsid w:val="00C029BE"/>
    <w:rsid w:val="00C14BE6"/>
    <w:rsid w:val="00C20401"/>
    <w:rsid w:val="00C23E22"/>
    <w:rsid w:val="00C241D9"/>
    <w:rsid w:val="00C328D3"/>
    <w:rsid w:val="00C34F54"/>
    <w:rsid w:val="00C4019D"/>
    <w:rsid w:val="00C41FEF"/>
    <w:rsid w:val="00C43814"/>
    <w:rsid w:val="00C45FE5"/>
    <w:rsid w:val="00C516DA"/>
    <w:rsid w:val="00C52186"/>
    <w:rsid w:val="00C53C0D"/>
    <w:rsid w:val="00C5524D"/>
    <w:rsid w:val="00C56AA6"/>
    <w:rsid w:val="00C61CDD"/>
    <w:rsid w:val="00C67B1D"/>
    <w:rsid w:val="00C716AD"/>
    <w:rsid w:val="00C731E3"/>
    <w:rsid w:val="00C83FC2"/>
    <w:rsid w:val="00CA2ABA"/>
    <w:rsid w:val="00CA7339"/>
    <w:rsid w:val="00CB3418"/>
    <w:rsid w:val="00CD5E59"/>
    <w:rsid w:val="00CE1C10"/>
    <w:rsid w:val="00CE31D0"/>
    <w:rsid w:val="00CE5115"/>
    <w:rsid w:val="00CE6F22"/>
    <w:rsid w:val="00CF0263"/>
    <w:rsid w:val="00CF05A0"/>
    <w:rsid w:val="00CF09E0"/>
    <w:rsid w:val="00CF1514"/>
    <w:rsid w:val="00CF2F6E"/>
    <w:rsid w:val="00CF4EAB"/>
    <w:rsid w:val="00CF627B"/>
    <w:rsid w:val="00CF66DF"/>
    <w:rsid w:val="00CF6DCF"/>
    <w:rsid w:val="00D0587D"/>
    <w:rsid w:val="00D1152F"/>
    <w:rsid w:val="00D12904"/>
    <w:rsid w:val="00D16D90"/>
    <w:rsid w:val="00D1712E"/>
    <w:rsid w:val="00D226DE"/>
    <w:rsid w:val="00D314A0"/>
    <w:rsid w:val="00D40178"/>
    <w:rsid w:val="00D42327"/>
    <w:rsid w:val="00D46DC6"/>
    <w:rsid w:val="00D52E1B"/>
    <w:rsid w:val="00D55354"/>
    <w:rsid w:val="00D66780"/>
    <w:rsid w:val="00D72D0C"/>
    <w:rsid w:val="00D72E2A"/>
    <w:rsid w:val="00D74494"/>
    <w:rsid w:val="00D7470D"/>
    <w:rsid w:val="00D80EF9"/>
    <w:rsid w:val="00D87D59"/>
    <w:rsid w:val="00D921B8"/>
    <w:rsid w:val="00D969E0"/>
    <w:rsid w:val="00D96A12"/>
    <w:rsid w:val="00D977C6"/>
    <w:rsid w:val="00DA1156"/>
    <w:rsid w:val="00DA2166"/>
    <w:rsid w:val="00DC1171"/>
    <w:rsid w:val="00DD43DD"/>
    <w:rsid w:val="00DD5923"/>
    <w:rsid w:val="00DD606F"/>
    <w:rsid w:val="00DE1BC8"/>
    <w:rsid w:val="00DF11E0"/>
    <w:rsid w:val="00DF78B1"/>
    <w:rsid w:val="00E004BC"/>
    <w:rsid w:val="00E015FE"/>
    <w:rsid w:val="00E03997"/>
    <w:rsid w:val="00E07880"/>
    <w:rsid w:val="00E139D1"/>
    <w:rsid w:val="00E13BC1"/>
    <w:rsid w:val="00E216C1"/>
    <w:rsid w:val="00E223F4"/>
    <w:rsid w:val="00E238FE"/>
    <w:rsid w:val="00E252B3"/>
    <w:rsid w:val="00E2632B"/>
    <w:rsid w:val="00E27A41"/>
    <w:rsid w:val="00E31925"/>
    <w:rsid w:val="00E43B51"/>
    <w:rsid w:val="00E46137"/>
    <w:rsid w:val="00E46881"/>
    <w:rsid w:val="00E47C1B"/>
    <w:rsid w:val="00E553AB"/>
    <w:rsid w:val="00E56FCA"/>
    <w:rsid w:val="00E622A5"/>
    <w:rsid w:val="00E72D65"/>
    <w:rsid w:val="00E90076"/>
    <w:rsid w:val="00EA311D"/>
    <w:rsid w:val="00EA43B3"/>
    <w:rsid w:val="00EA5FBB"/>
    <w:rsid w:val="00EB7548"/>
    <w:rsid w:val="00EC041B"/>
    <w:rsid w:val="00EC0DCC"/>
    <w:rsid w:val="00EC31BB"/>
    <w:rsid w:val="00EC3F73"/>
    <w:rsid w:val="00EC480F"/>
    <w:rsid w:val="00EC6659"/>
    <w:rsid w:val="00EC740F"/>
    <w:rsid w:val="00ED0FDB"/>
    <w:rsid w:val="00ED2722"/>
    <w:rsid w:val="00ED3A92"/>
    <w:rsid w:val="00EE0055"/>
    <w:rsid w:val="00EE3078"/>
    <w:rsid w:val="00EE4DD3"/>
    <w:rsid w:val="00EF12EE"/>
    <w:rsid w:val="00EF1842"/>
    <w:rsid w:val="00EF3C0D"/>
    <w:rsid w:val="00EF63A8"/>
    <w:rsid w:val="00F00F67"/>
    <w:rsid w:val="00F02918"/>
    <w:rsid w:val="00F129EB"/>
    <w:rsid w:val="00F14269"/>
    <w:rsid w:val="00F15B39"/>
    <w:rsid w:val="00F21267"/>
    <w:rsid w:val="00F230F4"/>
    <w:rsid w:val="00F251C7"/>
    <w:rsid w:val="00F32F60"/>
    <w:rsid w:val="00F33CFC"/>
    <w:rsid w:val="00F41E44"/>
    <w:rsid w:val="00F41E53"/>
    <w:rsid w:val="00F42DD1"/>
    <w:rsid w:val="00F50BC0"/>
    <w:rsid w:val="00F50EA6"/>
    <w:rsid w:val="00F52BDC"/>
    <w:rsid w:val="00F5721D"/>
    <w:rsid w:val="00F62BD1"/>
    <w:rsid w:val="00F71794"/>
    <w:rsid w:val="00F8150A"/>
    <w:rsid w:val="00F83179"/>
    <w:rsid w:val="00F84E60"/>
    <w:rsid w:val="00F8701F"/>
    <w:rsid w:val="00F87E89"/>
    <w:rsid w:val="00F92C62"/>
    <w:rsid w:val="00F94948"/>
    <w:rsid w:val="00F94BBC"/>
    <w:rsid w:val="00F9742A"/>
    <w:rsid w:val="00FA49F7"/>
    <w:rsid w:val="00FB05F9"/>
    <w:rsid w:val="00FB19ED"/>
    <w:rsid w:val="00FB3E15"/>
    <w:rsid w:val="00FB5632"/>
    <w:rsid w:val="00FC4848"/>
    <w:rsid w:val="00FC69EC"/>
    <w:rsid w:val="00FC74B8"/>
    <w:rsid w:val="00FD23F4"/>
    <w:rsid w:val="00FD2C34"/>
    <w:rsid w:val="00FD60AA"/>
    <w:rsid w:val="00FD67D0"/>
    <w:rsid w:val="00FE19C6"/>
    <w:rsid w:val="00FE6C1D"/>
    <w:rsid w:val="00FE6D2F"/>
    <w:rsid w:val="00FF4F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3B51"/>
    <w:pPr>
      <w:spacing w:line="280" w:lineRule="atLeast"/>
    </w:pPr>
    <w:rPr>
      <w:rFonts w:ascii="Arial" w:hAnsi="Arial"/>
      <w:lang w:val="en-CA"/>
    </w:rPr>
  </w:style>
  <w:style w:type="paragraph" w:styleId="Heading1">
    <w:name w:val="heading 1"/>
    <w:aliases w:val="Section,1"/>
    <w:basedOn w:val="Normal"/>
    <w:next w:val="Normal"/>
    <w:qFormat/>
    <w:rsid w:val="004C3224"/>
    <w:pPr>
      <w:keepNext/>
      <w:numPr>
        <w:numId w:val="2"/>
      </w:numPr>
      <w:pBdr>
        <w:bottom w:val="single" w:sz="4" w:space="1" w:color="auto"/>
      </w:pBdr>
      <w:spacing w:before="240" w:after="240"/>
      <w:jc w:val="both"/>
      <w:outlineLvl w:val="0"/>
    </w:pPr>
    <w:rPr>
      <w:rFonts w:cstheme="majorHAnsi"/>
      <w:b/>
      <w:bCs/>
      <w:kern w:val="32"/>
      <w:sz w:val="32"/>
      <w:szCs w:val="32"/>
    </w:rPr>
  </w:style>
  <w:style w:type="paragraph" w:styleId="Heading2">
    <w:name w:val="heading 2"/>
    <w:aliases w:val="Major,2"/>
    <w:basedOn w:val="Normal"/>
    <w:next w:val="Normal"/>
    <w:link w:val="Heading2Char"/>
    <w:qFormat/>
    <w:rsid w:val="004C3224"/>
    <w:pPr>
      <w:keepNext/>
      <w:numPr>
        <w:ilvl w:val="1"/>
        <w:numId w:val="2"/>
      </w:numPr>
      <w:spacing w:before="120" w:after="240"/>
      <w:outlineLvl w:val="1"/>
    </w:pPr>
    <w:rPr>
      <w:rFonts w:cs="Arial"/>
      <w:b/>
      <w:bCs/>
      <w:i/>
      <w:iCs/>
      <w:sz w:val="22"/>
      <w:lang w:val="en-GB"/>
    </w:rPr>
  </w:style>
  <w:style w:type="paragraph" w:styleId="Heading3">
    <w:name w:val="heading 3"/>
    <w:aliases w:val="Minor,3"/>
    <w:basedOn w:val="Normal"/>
    <w:next w:val="Normal"/>
    <w:link w:val="Heading3Char"/>
    <w:qFormat/>
    <w:rsid w:val="004C3224"/>
    <w:pPr>
      <w:keepNext/>
      <w:numPr>
        <w:ilvl w:val="2"/>
        <w:numId w:val="2"/>
      </w:numPr>
      <w:spacing w:before="240" w:after="240"/>
      <w:outlineLvl w:val="2"/>
    </w:pPr>
    <w:rPr>
      <w:rFonts w:cs="Arial"/>
      <w:b/>
      <w:bCs/>
      <w:sz w:val="22"/>
      <w:szCs w:val="26"/>
      <w:lang w:val="en-GB"/>
    </w:rPr>
  </w:style>
  <w:style w:type="paragraph" w:styleId="Heading4">
    <w:name w:val="heading 4"/>
    <w:basedOn w:val="AppendixHeading"/>
    <w:next w:val="Normal"/>
    <w:qFormat/>
    <w:rsid w:val="00142A38"/>
    <w:pPr>
      <w:pageBreakBefore w:val="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Major Char,2 Char"/>
    <w:basedOn w:val="DefaultParagraphFont"/>
    <w:link w:val="Heading2"/>
    <w:rsid w:val="004C3224"/>
    <w:rPr>
      <w:rFonts w:ascii="Arial" w:hAnsi="Arial" w:cs="Arial"/>
      <w:b/>
      <w:bCs/>
      <w:i/>
      <w:iCs/>
      <w:sz w:val="22"/>
      <w:lang w:val="en-GB"/>
    </w:rPr>
  </w:style>
  <w:style w:type="character" w:styleId="PageNumber">
    <w:name w:val="page number"/>
    <w:basedOn w:val="DefaultParagraphFont"/>
    <w:rsid w:val="00616AFD"/>
    <w:rPr>
      <w:rFonts w:ascii="Arial" w:hAnsi="Arial"/>
      <w:sz w:val="16"/>
      <w:szCs w:val="16"/>
    </w:rPr>
  </w:style>
  <w:style w:type="paragraph" w:customStyle="1" w:styleId="BulletInset">
    <w:name w:val="Bullet Inset"/>
    <w:basedOn w:val="Normal"/>
    <w:rsid w:val="004959C4"/>
    <w:pPr>
      <w:numPr>
        <w:numId w:val="1"/>
      </w:numPr>
      <w:spacing w:line="240" w:lineRule="exact"/>
    </w:pPr>
    <w:rPr>
      <w:rFonts w:eastAsia="Times New Roman"/>
    </w:rPr>
  </w:style>
  <w:style w:type="paragraph" w:styleId="Footer">
    <w:name w:val="footer"/>
    <w:basedOn w:val="Normal"/>
    <w:link w:val="FooterChar"/>
    <w:uiPriority w:val="99"/>
    <w:rsid w:val="00903635"/>
    <w:pPr>
      <w:tabs>
        <w:tab w:val="center" w:pos="4320"/>
        <w:tab w:val="right" w:pos="8640"/>
      </w:tabs>
    </w:pPr>
  </w:style>
  <w:style w:type="paragraph" w:customStyle="1" w:styleId="ClientName">
    <w:name w:val="ClientName"/>
    <w:basedOn w:val="Normal"/>
    <w:link w:val="ClientNameCharChar"/>
    <w:rsid w:val="00903635"/>
  </w:style>
  <w:style w:type="character" w:customStyle="1" w:styleId="ClientNameCharChar">
    <w:name w:val="ClientName Char Char"/>
    <w:basedOn w:val="DefaultParagraphFont"/>
    <w:link w:val="ClientName"/>
    <w:rsid w:val="00903635"/>
    <w:rPr>
      <w:rFonts w:ascii="Arial" w:eastAsia="Times" w:hAnsi="Arial"/>
      <w:sz w:val="24"/>
      <w:lang w:val="en-US" w:eastAsia="en-US" w:bidi="ar-SA"/>
    </w:rPr>
  </w:style>
  <w:style w:type="paragraph" w:customStyle="1" w:styleId="ProjectName">
    <w:name w:val="ProjectName"/>
    <w:basedOn w:val="Normal"/>
    <w:link w:val="ProjectNameCharChar"/>
    <w:rsid w:val="00903635"/>
  </w:style>
  <w:style w:type="character" w:customStyle="1" w:styleId="ProjectNameCharChar">
    <w:name w:val="ProjectName Char Char"/>
    <w:basedOn w:val="DefaultParagraphFont"/>
    <w:link w:val="ProjectName"/>
    <w:rsid w:val="00903635"/>
    <w:rPr>
      <w:rFonts w:ascii="Arial" w:eastAsia="Times" w:hAnsi="Arial"/>
      <w:sz w:val="24"/>
      <w:lang w:val="en-US" w:eastAsia="en-US" w:bidi="ar-SA"/>
    </w:rPr>
  </w:style>
  <w:style w:type="paragraph" w:customStyle="1" w:styleId="SubmissionIDNumber">
    <w:name w:val="SubmissionIDNumber"/>
    <w:basedOn w:val="Normal"/>
    <w:next w:val="Normal"/>
    <w:link w:val="SubmissionIDNumberCharChar"/>
    <w:rsid w:val="00903635"/>
  </w:style>
  <w:style w:type="character" w:customStyle="1" w:styleId="SubmissionIDNumberCharChar">
    <w:name w:val="SubmissionIDNumber Char Char"/>
    <w:basedOn w:val="DefaultParagraphFont"/>
    <w:link w:val="SubmissionIDNumber"/>
    <w:rsid w:val="00903635"/>
    <w:rPr>
      <w:rFonts w:ascii="Arial" w:eastAsia="Times" w:hAnsi="Arial"/>
      <w:sz w:val="24"/>
      <w:lang w:val="en-US" w:eastAsia="en-US" w:bidi="ar-SA"/>
    </w:rPr>
  </w:style>
  <w:style w:type="character" w:customStyle="1" w:styleId="Hidden">
    <w:name w:val="Hidden"/>
    <w:basedOn w:val="DefaultParagraphFont"/>
    <w:rsid w:val="00903635"/>
    <w:rPr>
      <w:vanish/>
      <w:color w:val="FF0000"/>
      <w:sz w:val="26"/>
      <w:szCs w:val="26"/>
    </w:rPr>
  </w:style>
  <w:style w:type="paragraph" w:styleId="TOC2">
    <w:name w:val="toc 2"/>
    <w:basedOn w:val="Normal"/>
    <w:next w:val="Normal"/>
    <w:autoRedefine/>
    <w:uiPriority w:val="39"/>
    <w:rsid w:val="00BB7782"/>
    <w:pPr>
      <w:tabs>
        <w:tab w:val="left" w:pos="1260"/>
        <w:tab w:val="right" w:leader="dot" w:pos="8640"/>
      </w:tabs>
      <w:ind w:left="1260" w:hanging="540"/>
    </w:pPr>
  </w:style>
  <w:style w:type="paragraph" w:styleId="TOC3">
    <w:name w:val="toc 3"/>
    <w:basedOn w:val="Normal"/>
    <w:next w:val="Normal"/>
    <w:autoRedefine/>
    <w:uiPriority w:val="39"/>
    <w:rsid w:val="00BB7782"/>
    <w:pPr>
      <w:tabs>
        <w:tab w:val="left" w:pos="1800"/>
        <w:tab w:val="right" w:leader="dot" w:pos="8640"/>
      </w:tabs>
      <w:ind w:left="1800" w:hanging="720"/>
    </w:pPr>
  </w:style>
  <w:style w:type="paragraph" w:styleId="TOC1">
    <w:name w:val="toc 1"/>
    <w:basedOn w:val="Normal"/>
    <w:next w:val="Normal"/>
    <w:autoRedefine/>
    <w:uiPriority w:val="39"/>
    <w:rsid w:val="00714A27"/>
    <w:pPr>
      <w:tabs>
        <w:tab w:val="left" w:pos="709"/>
        <w:tab w:val="left" w:pos="1440"/>
        <w:tab w:val="right" w:leader="dot" w:pos="8640"/>
      </w:tabs>
      <w:spacing w:before="240" w:after="240"/>
    </w:pPr>
    <w:rPr>
      <w:b/>
      <w:noProof/>
    </w:rPr>
  </w:style>
  <w:style w:type="table" w:styleId="TableGrid">
    <w:name w:val="Table Grid"/>
    <w:basedOn w:val="TableNormal"/>
    <w:uiPriority w:val="59"/>
    <w:rsid w:val="00CB3418"/>
    <w:rPr>
      <w:rFonts w:ascii="Arial" w:eastAsia="Times New Roman"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ightIndent">
    <w:name w:val="Right Indent"/>
    <w:basedOn w:val="Normal"/>
    <w:link w:val="RightIndentChar"/>
    <w:rsid w:val="000B02C5"/>
    <w:pPr>
      <w:ind w:right="2880"/>
    </w:pPr>
  </w:style>
  <w:style w:type="character" w:customStyle="1" w:styleId="RightIndentChar">
    <w:name w:val="Right Indent Char"/>
    <w:basedOn w:val="DefaultParagraphFont"/>
    <w:link w:val="RightIndent"/>
    <w:rsid w:val="0008720A"/>
    <w:rPr>
      <w:rFonts w:ascii="Arial" w:eastAsia="Times" w:hAnsi="Arial"/>
      <w:lang w:val="en-US" w:eastAsia="en-US" w:bidi="ar-SA"/>
    </w:rPr>
  </w:style>
  <w:style w:type="paragraph" w:customStyle="1" w:styleId="MHI-BodyCopy">
    <w:name w:val="MHI-Body Copy"/>
    <w:basedOn w:val="Normal"/>
    <w:rsid w:val="00C013D5"/>
    <w:pPr>
      <w:spacing w:line="240" w:lineRule="exact"/>
    </w:pPr>
  </w:style>
  <w:style w:type="paragraph" w:customStyle="1" w:styleId="MHI-Subhead">
    <w:name w:val="MHI-Subhead"/>
    <w:basedOn w:val="Normal"/>
    <w:next w:val="MHI-BodyCopy"/>
    <w:rsid w:val="00C013D5"/>
    <w:pPr>
      <w:tabs>
        <w:tab w:val="num" w:pos="522"/>
      </w:tabs>
      <w:spacing w:line="240" w:lineRule="auto"/>
      <w:ind w:left="612" w:hanging="612"/>
    </w:pPr>
    <w:rPr>
      <w:b/>
    </w:rPr>
  </w:style>
  <w:style w:type="paragraph" w:customStyle="1" w:styleId="MHI-BulletInset">
    <w:name w:val="MHI-Bullet Inset"/>
    <w:basedOn w:val="Normal"/>
    <w:rsid w:val="00C013D5"/>
    <w:pPr>
      <w:tabs>
        <w:tab w:val="num" w:pos="720"/>
      </w:tabs>
      <w:spacing w:line="240" w:lineRule="exact"/>
      <w:ind w:left="720" w:hanging="720"/>
    </w:pPr>
  </w:style>
  <w:style w:type="paragraph" w:customStyle="1" w:styleId="MHI-SectionSubhead">
    <w:name w:val="MHI-Section Subhead"/>
    <w:next w:val="MHI-BodyCopy"/>
    <w:rsid w:val="005279F3"/>
    <w:pPr>
      <w:tabs>
        <w:tab w:val="num" w:pos="360"/>
      </w:tabs>
      <w:ind w:left="360" w:hanging="360"/>
    </w:pPr>
    <w:rPr>
      <w:rFonts w:ascii="Arial" w:hAnsi="Arial"/>
      <w:b/>
    </w:rPr>
  </w:style>
  <w:style w:type="paragraph" w:customStyle="1" w:styleId="MHI-PhotoCaption">
    <w:name w:val="MHI-Photo Caption"/>
    <w:basedOn w:val="Normal"/>
    <w:rsid w:val="00940557"/>
    <w:pPr>
      <w:spacing w:line="180" w:lineRule="exact"/>
      <w:ind w:right="418"/>
    </w:pPr>
    <w:rPr>
      <w:sz w:val="14"/>
    </w:rPr>
  </w:style>
  <w:style w:type="paragraph" w:styleId="DocumentMap">
    <w:name w:val="Document Map"/>
    <w:basedOn w:val="Normal"/>
    <w:semiHidden/>
    <w:rsid w:val="00940DEE"/>
    <w:pPr>
      <w:shd w:val="clear" w:color="auto" w:fill="000080"/>
    </w:pPr>
    <w:rPr>
      <w:rFonts w:ascii="Tahoma" w:hAnsi="Tahoma" w:cs="Tahoma"/>
    </w:rPr>
  </w:style>
  <w:style w:type="paragraph" w:styleId="BodyText3">
    <w:name w:val="Body Text 3"/>
    <w:basedOn w:val="Normal"/>
    <w:link w:val="BodyText3Char"/>
    <w:rsid w:val="00EF3C0D"/>
    <w:pPr>
      <w:widowControl w:val="0"/>
      <w:tabs>
        <w:tab w:val="left" w:pos="-720"/>
        <w:tab w:val="left" w:pos="0"/>
        <w:tab w:val="left" w:pos="360"/>
        <w:tab w:val="left" w:pos="1440"/>
      </w:tabs>
      <w:spacing w:line="240" w:lineRule="auto"/>
    </w:pPr>
    <w:rPr>
      <w:rFonts w:ascii="CG Times" w:eastAsia="Times New Roman" w:hAnsi="CG Times" w:cs="Arial"/>
      <w:snapToGrid w:val="0"/>
      <w:szCs w:val="24"/>
      <w:lang w:val="en-GB"/>
    </w:rPr>
  </w:style>
  <w:style w:type="character" w:customStyle="1" w:styleId="BodyText3Char">
    <w:name w:val="Body Text 3 Char"/>
    <w:basedOn w:val="DefaultParagraphFont"/>
    <w:link w:val="BodyText3"/>
    <w:rsid w:val="00EF3C0D"/>
    <w:rPr>
      <w:rFonts w:ascii="CG Times" w:eastAsia="Times New Roman" w:hAnsi="CG Times" w:cs="Arial"/>
      <w:snapToGrid w:val="0"/>
      <w:szCs w:val="24"/>
      <w:lang w:val="en-GB"/>
    </w:rPr>
  </w:style>
  <w:style w:type="character" w:styleId="Hyperlink">
    <w:name w:val="Hyperlink"/>
    <w:uiPriority w:val="99"/>
    <w:rsid w:val="00EF3C0D"/>
    <w:rPr>
      <w:color w:val="0000FF"/>
      <w:u w:val="single"/>
    </w:rPr>
  </w:style>
  <w:style w:type="paragraph" w:customStyle="1" w:styleId="a">
    <w:name w:val="_"/>
    <w:basedOn w:val="Normal"/>
    <w:rsid w:val="00EF3C0D"/>
    <w:pPr>
      <w:widowControl w:val="0"/>
      <w:spacing w:line="240" w:lineRule="auto"/>
      <w:ind w:left="756" w:hanging="378"/>
    </w:pPr>
    <w:rPr>
      <w:rFonts w:ascii="Times New Roman" w:eastAsia="Times New Roman" w:hAnsi="Times New Roman"/>
      <w:snapToGrid w:val="0"/>
      <w:sz w:val="24"/>
      <w:lang w:val="en-US"/>
    </w:rPr>
  </w:style>
  <w:style w:type="paragraph" w:styleId="BalloonText">
    <w:name w:val="Balloon Text"/>
    <w:basedOn w:val="Normal"/>
    <w:link w:val="BalloonTextChar"/>
    <w:rsid w:val="0086192D"/>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rsid w:val="0086192D"/>
    <w:rPr>
      <w:rFonts w:ascii="Lucida Grande" w:hAnsi="Lucida Grande" w:cs="Lucida Grande"/>
      <w:sz w:val="18"/>
      <w:szCs w:val="18"/>
      <w:lang w:val="en-CA"/>
    </w:rPr>
  </w:style>
  <w:style w:type="paragraph" w:styleId="ListParagraph">
    <w:name w:val="List Paragraph"/>
    <w:basedOn w:val="Normal"/>
    <w:uiPriority w:val="34"/>
    <w:qFormat/>
    <w:rsid w:val="00B83BED"/>
    <w:pPr>
      <w:spacing w:line="240" w:lineRule="auto"/>
      <w:ind w:left="720"/>
      <w:contextualSpacing/>
    </w:pPr>
    <w:rPr>
      <w:rFonts w:ascii="Times New Roman" w:eastAsia="Times New Roman" w:hAnsi="Times New Roman"/>
      <w:sz w:val="24"/>
    </w:rPr>
  </w:style>
  <w:style w:type="character" w:customStyle="1" w:styleId="Heading3Char">
    <w:name w:val="Heading 3 Char"/>
    <w:aliases w:val="Minor Char,3 Char"/>
    <w:link w:val="Heading3"/>
    <w:rsid w:val="004C3224"/>
    <w:rPr>
      <w:rFonts w:ascii="Arial" w:hAnsi="Arial" w:cs="Arial"/>
      <w:b/>
      <w:bCs/>
      <w:sz w:val="22"/>
      <w:szCs w:val="26"/>
      <w:lang w:val="en-GB"/>
    </w:rPr>
  </w:style>
  <w:style w:type="paragraph" w:customStyle="1" w:styleId="MHI-TABLECAPS">
    <w:name w:val="MHI-TABLE (CAPS)"/>
    <w:rsid w:val="00B33599"/>
    <w:pPr>
      <w:tabs>
        <w:tab w:val="left" w:leader="dot" w:pos="2160"/>
      </w:tabs>
      <w:spacing w:before="120" w:line="180" w:lineRule="exact"/>
    </w:pPr>
    <w:rPr>
      <w:rFonts w:ascii="Arial" w:hAnsi="Arial"/>
      <w:sz w:val="12"/>
    </w:rPr>
  </w:style>
  <w:style w:type="paragraph" w:customStyle="1" w:styleId="MHI-TableRoman">
    <w:name w:val="MHI-Table Roman"/>
    <w:basedOn w:val="Normal"/>
    <w:rsid w:val="00B33599"/>
    <w:pPr>
      <w:tabs>
        <w:tab w:val="left" w:leader="dot" w:pos="2160"/>
      </w:tabs>
      <w:spacing w:line="240" w:lineRule="exact"/>
    </w:pPr>
    <w:rPr>
      <w:sz w:val="18"/>
      <w:lang w:val="en-US"/>
    </w:rPr>
  </w:style>
  <w:style w:type="paragraph" w:customStyle="1" w:styleId="MHI-HeadlineSmall">
    <w:name w:val="MHI-Headline Small"/>
    <w:rsid w:val="00B33599"/>
    <w:pPr>
      <w:spacing w:before="120"/>
    </w:pPr>
    <w:rPr>
      <w:rFonts w:ascii="Arial" w:hAnsi="Arial"/>
      <w:b/>
      <w:kern w:val="32"/>
      <w:sz w:val="24"/>
      <w:szCs w:val="32"/>
    </w:rPr>
  </w:style>
  <w:style w:type="paragraph" w:customStyle="1" w:styleId="MHI-TableItalic">
    <w:name w:val="MHI-Table Italic"/>
    <w:basedOn w:val="MHI-TableRoman"/>
    <w:rsid w:val="00B33599"/>
    <w:rPr>
      <w:i/>
      <w:szCs w:val="18"/>
    </w:rPr>
  </w:style>
  <w:style w:type="paragraph" w:styleId="Header">
    <w:name w:val="header"/>
    <w:basedOn w:val="Normal"/>
    <w:link w:val="HeaderChar"/>
    <w:rsid w:val="00B33902"/>
    <w:pPr>
      <w:tabs>
        <w:tab w:val="center" w:pos="4320"/>
        <w:tab w:val="right" w:pos="8640"/>
      </w:tabs>
    </w:pPr>
  </w:style>
  <w:style w:type="character" w:customStyle="1" w:styleId="HeaderChar">
    <w:name w:val="Header Char"/>
    <w:basedOn w:val="DefaultParagraphFont"/>
    <w:link w:val="Header"/>
    <w:rsid w:val="00B33902"/>
    <w:rPr>
      <w:rFonts w:ascii="Arial" w:hAnsi="Arial"/>
      <w:lang w:val="en-CA"/>
    </w:rPr>
  </w:style>
  <w:style w:type="character" w:customStyle="1" w:styleId="FooterChar">
    <w:name w:val="Footer Char"/>
    <w:basedOn w:val="DefaultParagraphFont"/>
    <w:link w:val="Footer"/>
    <w:uiPriority w:val="99"/>
    <w:rsid w:val="00B33902"/>
    <w:rPr>
      <w:rFonts w:ascii="Arial" w:hAnsi="Arial"/>
      <w:lang w:val="en-CA"/>
    </w:rPr>
  </w:style>
  <w:style w:type="paragraph" w:customStyle="1" w:styleId="BasicParagraph">
    <w:name w:val="[Basic Paragraph]"/>
    <w:basedOn w:val="Normal"/>
    <w:rsid w:val="00B33902"/>
    <w:pPr>
      <w:widowControl w:val="0"/>
      <w:autoSpaceDE w:val="0"/>
      <w:autoSpaceDN w:val="0"/>
      <w:adjustRightInd w:val="0"/>
      <w:spacing w:line="288" w:lineRule="auto"/>
      <w:textAlignment w:val="center"/>
    </w:pPr>
    <w:rPr>
      <w:rFonts w:ascii="Times-Roman" w:eastAsia="Times New Roman" w:hAnsi="Times-Roman" w:cs="Times-Roman"/>
      <w:color w:val="000000"/>
      <w:sz w:val="24"/>
      <w:szCs w:val="24"/>
      <w:lang w:val="en-US" w:bidi="en-US"/>
    </w:rPr>
  </w:style>
  <w:style w:type="paragraph" w:customStyle="1" w:styleId="Normal-bold">
    <w:name w:val="Normal - bold"/>
    <w:basedOn w:val="Normal"/>
    <w:link w:val="Normal-boldChar"/>
    <w:qFormat/>
    <w:rsid w:val="004C3224"/>
    <w:pPr>
      <w:spacing w:before="120" w:after="120"/>
    </w:pPr>
    <w:rPr>
      <w:rFonts w:cstheme="majorHAnsi"/>
      <w:b/>
    </w:rPr>
  </w:style>
  <w:style w:type="character" w:customStyle="1" w:styleId="Normal-boldChar">
    <w:name w:val="Normal - bold Char"/>
    <w:basedOn w:val="DefaultParagraphFont"/>
    <w:link w:val="Normal-bold"/>
    <w:rsid w:val="004C3224"/>
    <w:rPr>
      <w:rFonts w:ascii="Arial" w:hAnsi="Arial" w:cstheme="majorHAnsi"/>
      <w:b/>
      <w:lang w:val="en-CA"/>
    </w:rPr>
  </w:style>
  <w:style w:type="character" w:customStyle="1" w:styleId="notranslate">
    <w:name w:val="notranslate"/>
    <w:basedOn w:val="DefaultParagraphFont"/>
    <w:rsid w:val="00CD5E59"/>
  </w:style>
  <w:style w:type="character" w:customStyle="1" w:styleId="apple-converted-space">
    <w:name w:val="apple-converted-space"/>
    <w:basedOn w:val="DefaultParagraphFont"/>
    <w:rsid w:val="00CD5E59"/>
  </w:style>
  <w:style w:type="character" w:styleId="CommentReference">
    <w:name w:val="annotation reference"/>
    <w:basedOn w:val="DefaultParagraphFont"/>
    <w:uiPriority w:val="99"/>
    <w:rsid w:val="00225C54"/>
    <w:rPr>
      <w:sz w:val="16"/>
      <w:szCs w:val="16"/>
    </w:rPr>
  </w:style>
  <w:style w:type="paragraph" w:styleId="CommentText">
    <w:name w:val="annotation text"/>
    <w:basedOn w:val="Normal"/>
    <w:link w:val="CommentTextChar"/>
    <w:uiPriority w:val="99"/>
    <w:rsid w:val="00225C54"/>
    <w:pPr>
      <w:spacing w:line="240" w:lineRule="auto"/>
    </w:pPr>
  </w:style>
  <w:style w:type="character" w:customStyle="1" w:styleId="CommentTextChar">
    <w:name w:val="Comment Text Char"/>
    <w:basedOn w:val="DefaultParagraphFont"/>
    <w:link w:val="CommentText"/>
    <w:uiPriority w:val="99"/>
    <w:rsid w:val="00225C54"/>
    <w:rPr>
      <w:rFonts w:ascii="Arial" w:hAnsi="Arial"/>
      <w:lang w:val="en-CA"/>
    </w:rPr>
  </w:style>
  <w:style w:type="paragraph" w:styleId="CommentSubject">
    <w:name w:val="annotation subject"/>
    <w:basedOn w:val="CommentText"/>
    <w:next w:val="CommentText"/>
    <w:link w:val="CommentSubjectChar"/>
    <w:rsid w:val="00225C54"/>
    <w:rPr>
      <w:b/>
      <w:bCs/>
    </w:rPr>
  </w:style>
  <w:style w:type="character" w:customStyle="1" w:styleId="CommentSubjectChar">
    <w:name w:val="Comment Subject Char"/>
    <w:basedOn w:val="CommentTextChar"/>
    <w:link w:val="CommentSubject"/>
    <w:rsid w:val="00225C54"/>
    <w:rPr>
      <w:rFonts w:ascii="Arial" w:hAnsi="Arial"/>
      <w:b/>
      <w:bCs/>
      <w:lang w:val="en-CA"/>
    </w:rPr>
  </w:style>
  <w:style w:type="paragraph" w:styleId="Caption">
    <w:name w:val="caption"/>
    <w:basedOn w:val="Normal"/>
    <w:next w:val="Normal"/>
    <w:unhideWhenUsed/>
    <w:qFormat/>
    <w:rsid w:val="00EC740F"/>
    <w:pPr>
      <w:keepNext/>
      <w:spacing w:after="200" w:line="240" w:lineRule="auto"/>
      <w:jc w:val="center"/>
    </w:pPr>
    <w:rPr>
      <w:b/>
      <w:bCs/>
    </w:rPr>
  </w:style>
  <w:style w:type="paragraph" w:styleId="FootnoteText">
    <w:name w:val="footnote text"/>
    <w:basedOn w:val="Normal"/>
    <w:link w:val="FootnoteTextChar"/>
    <w:uiPriority w:val="99"/>
    <w:unhideWhenUsed/>
    <w:rsid w:val="008E630E"/>
    <w:pPr>
      <w:spacing w:line="240" w:lineRule="auto"/>
      <w:jc w:val="both"/>
    </w:pPr>
    <w:rPr>
      <w:rFonts w:ascii="Verdana" w:eastAsia="Times New Roman" w:hAnsi="Verdana"/>
    </w:rPr>
  </w:style>
  <w:style w:type="character" w:customStyle="1" w:styleId="FootnoteTextChar">
    <w:name w:val="Footnote Text Char"/>
    <w:basedOn w:val="DefaultParagraphFont"/>
    <w:link w:val="FootnoteText"/>
    <w:uiPriority w:val="99"/>
    <w:rsid w:val="008E630E"/>
    <w:rPr>
      <w:rFonts w:ascii="Verdana" w:eastAsia="Times New Roman" w:hAnsi="Verdana"/>
      <w:lang w:val="en-CA"/>
    </w:rPr>
  </w:style>
  <w:style w:type="character" w:styleId="FootnoteReference">
    <w:name w:val="footnote reference"/>
    <w:basedOn w:val="DefaultParagraphFont"/>
    <w:uiPriority w:val="99"/>
    <w:unhideWhenUsed/>
    <w:rsid w:val="008E630E"/>
    <w:rPr>
      <w:vertAlign w:val="superscript"/>
    </w:rPr>
  </w:style>
  <w:style w:type="paragraph" w:customStyle="1" w:styleId="t">
    <w:name w:val="t"/>
    <w:aliases w:val="text"/>
    <w:basedOn w:val="Normal"/>
    <w:rsid w:val="00CF0263"/>
    <w:pPr>
      <w:tabs>
        <w:tab w:val="left" w:pos="-1440"/>
        <w:tab w:val="left" w:pos="-720"/>
      </w:tabs>
      <w:spacing w:after="240" w:line="240" w:lineRule="auto"/>
    </w:pPr>
    <w:rPr>
      <w:rFonts w:ascii="Times New Roman" w:eastAsia="Times New Roman" w:hAnsi="Times New Roman"/>
      <w:sz w:val="24"/>
      <w:lang w:val="en-US"/>
    </w:rPr>
  </w:style>
  <w:style w:type="paragraph" w:styleId="TOC4">
    <w:name w:val="toc 4"/>
    <w:basedOn w:val="Normal"/>
    <w:next w:val="Normal"/>
    <w:autoRedefine/>
    <w:uiPriority w:val="39"/>
    <w:rsid w:val="00714A27"/>
    <w:pPr>
      <w:tabs>
        <w:tab w:val="left" w:pos="1440"/>
        <w:tab w:val="right" w:leader="dot" w:pos="8640"/>
      </w:tabs>
      <w:spacing w:before="240"/>
      <w:ind w:left="720" w:hanging="720"/>
    </w:pPr>
    <w:rPr>
      <w:b/>
      <w:noProof/>
    </w:rPr>
  </w:style>
  <w:style w:type="paragraph" w:customStyle="1" w:styleId="AppendixHeading">
    <w:name w:val="Appendix Heading"/>
    <w:next w:val="Normal"/>
    <w:qFormat/>
    <w:rsid w:val="008F51AA"/>
    <w:pPr>
      <w:pageBreakBefore/>
      <w:numPr>
        <w:numId w:val="35"/>
      </w:numPr>
      <w:tabs>
        <w:tab w:val="left" w:pos="1829"/>
      </w:tabs>
      <w:spacing w:before="1200" w:after="120"/>
      <w:ind w:left="3384" w:hanging="3024"/>
      <w:outlineLvl w:val="0"/>
    </w:pPr>
    <w:rPr>
      <w:rFonts w:ascii="Arial" w:hAnsi="Arial" w:cs="Arial"/>
      <w:sz w:val="52"/>
      <w:szCs w:val="5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4209"/>
    <w:pPr>
      <w:spacing w:line="280" w:lineRule="atLeast"/>
    </w:pPr>
    <w:rPr>
      <w:rFonts w:ascii="Arial" w:hAnsi="Arial"/>
      <w:lang w:val="en-CA"/>
    </w:rPr>
  </w:style>
  <w:style w:type="paragraph" w:styleId="1">
    <w:name w:val="heading 1"/>
    <w:aliases w:val="Section,1"/>
    <w:basedOn w:val="a"/>
    <w:next w:val="a"/>
    <w:qFormat/>
    <w:rsid w:val="004C3224"/>
    <w:pPr>
      <w:keepNext/>
      <w:numPr>
        <w:numId w:val="2"/>
      </w:numPr>
      <w:pBdr>
        <w:bottom w:val="single" w:sz="4" w:space="1" w:color="auto"/>
      </w:pBdr>
      <w:spacing w:before="240" w:after="240"/>
      <w:jc w:val="both"/>
      <w:outlineLvl w:val="0"/>
    </w:pPr>
    <w:rPr>
      <w:rFonts w:cstheme="majorHAnsi"/>
      <w:b/>
      <w:bCs/>
      <w:kern w:val="32"/>
      <w:sz w:val="32"/>
      <w:szCs w:val="32"/>
    </w:rPr>
  </w:style>
  <w:style w:type="paragraph" w:styleId="2">
    <w:name w:val="heading 2"/>
    <w:aliases w:val="Major,2"/>
    <w:basedOn w:val="a"/>
    <w:next w:val="a"/>
    <w:link w:val="20"/>
    <w:qFormat/>
    <w:rsid w:val="004C3224"/>
    <w:pPr>
      <w:keepNext/>
      <w:numPr>
        <w:ilvl w:val="1"/>
        <w:numId w:val="2"/>
      </w:numPr>
      <w:spacing w:before="120" w:after="240"/>
      <w:outlineLvl w:val="1"/>
    </w:pPr>
    <w:rPr>
      <w:rFonts w:cs="Arial"/>
      <w:b/>
      <w:bCs/>
      <w:i/>
      <w:iCs/>
      <w:sz w:val="22"/>
      <w:lang w:val="en-GB"/>
    </w:rPr>
  </w:style>
  <w:style w:type="paragraph" w:styleId="3">
    <w:name w:val="heading 3"/>
    <w:aliases w:val="Minor,3"/>
    <w:basedOn w:val="a"/>
    <w:next w:val="a"/>
    <w:link w:val="30"/>
    <w:qFormat/>
    <w:rsid w:val="004C3224"/>
    <w:pPr>
      <w:keepNext/>
      <w:numPr>
        <w:ilvl w:val="2"/>
        <w:numId w:val="2"/>
      </w:numPr>
      <w:spacing w:before="240" w:after="240"/>
      <w:outlineLvl w:val="2"/>
    </w:pPr>
    <w:rPr>
      <w:rFonts w:cs="Arial"/>
      <w:b/>
      <w:bCs/>
      <w:sz w:val="22"/>
      <w:szCs w:val="26"/>
      <w:lang w:val="en-GB"/>
    </w:rPr>
  </w:style>
  <w:style w:type="paragraph" w:styleId="4">
    <w:name w:val="heading 4"/>
    <w:basedOn w:val="a"/>
    <w:next w:val="a"/>
    <w:qFormat/>
    <w:rsid w:val="00230E8E"/>
    <w:pPr>
      <w:spacing w:before="120" w:after="120" w:line="240" w:lineRule="exact"/>
      <w:ind w:left="720"/>
      <w:outlineLvl w:val="3"/>
    </w:pPr>
    <w:rPr>
      <w:rFonts w:eastAsia="Times New Roman"/>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Heading 2 Char"/>
    <w:aliases w:val="Major Char,2 Char"/>
    <w:basedOn w:val="a0"/>
    <w:link w:val="2"/>
    <w:rsid w:val="004C3224"/>
    <w:rPr>
      <w:rFonts w:ascii="Arial" w:hAnsi="Arial" w:cs="Arial"/>
      <w:b/>
      <w:bCs/>
      <w:i/>
      <w:iCs/>
      <w:sz w:val="22"/>
      <w:lang w:val="en-GB"/>
    </w:rPr>
  </w:style>
  <w:style w:type="character" w:styleId="a3">
    <w:name w:val="page number"/>
    <w:basedOn w:val="a0"/>
    <w:rsid w:val="00616AFD"/>
    <w:rPr>
      <w:rFonts w:ascii="Arial" w:hAnsi="Arial"/>
      <w:sz w:val="16"/>
      <w:szCs w:val="16"/>
    </w:rPr>
  </w:style>
  <w:style w:type="paragraph" w:customStyle="1" w:styleId="BulletInset">
    <w:name w:val="Bullet Inset"/>
    <w:basedOn w:val="a"/>
    <w:rsid w:val="004959C4"/>
    <w:pPr>
      <w:numPr>
        <w:numId w:val="1"/>
      </w:numPr>
      <w:spacing w:line="240" w:lineRule="exact"/>
    </w:pPr>
    <w:rPr>
      <w:rFonts w:eastAsia="Times New Roman"/>
    </w:rPr>
  </w:style>
  <w:style w:type="paragraph" w:styleId="a4">
    <w:name w:val="footer"/>
    <w:basedOn w:val="a"/>
    <w:link w:val="a5"/>
    <w:uiPriority w:val="99"/>
    <w:rsid w:val="00903635"/>
    <w:pPr>
      <w:tabs>
        <w:tab w:val="center" w:pos="4320"/>
        <w:tab w:val="right" w:pos="8640"/>
      </w:tabs>
    </w:pPr>
  </w:style>
  <w:style w:type="paragraph" w:customStyle="1" w:styleId="ClientName">
    <w:name w:val="ClientName"/>
    <w:basedOn w:val="a"/>
    <w:link w:val="ClientNameCharChar"/>
    <w:rsid w:val="00903635"/>
  </w:style>
  <w:style w:type="character" w:customStyle="1" w:styleId="ClientNameCharChar">
    <w:name w:val="ClientName Char Char"/>
    <w:basedOn w:val="a0"/>
    <w:link w:val="ClientName"/>
    <w:rsid w:val="00903635"/>
    <w:rPr>
      <w:rFonts w:ascii="Arial" w:eastAsia="Times" w:hAnsi="Arial"/>
      <w:sz w:val="24"/>
      <w:lang w:val="en-US" w:eastAsia="en-US" w:bidi="ar-SA"/>
    </w:rPr>
  </w:style>
  <w:style w:type="paragraph" w:customStyle="1" w:styleId="ProjectName">
    <w:name w:val="ProjectName"/>
    <w:basedOn w:val="a"/>
    <w:link w:val="ProjectNameCharChar"/>
    <w:rsid w:val="00903635"/>
  </w:style>
  <w:style w:type="character" w:customStyle="1" w:styleId="ProjectNameCharChar">
    <w:name w:val="ProjectName Char Char"/>
    <w:basedOn w:val="a0"/>
    <w:link w:val="ProjectName"/>
    <w:rsid w:val="00903635"/>
    <w:rPr>
      <w:rFonts w:ascii="Arial" w:eastAsia="Times" w:hAnsi="Arial"/>
      <w:sz w:val="24"/>
      <w:lang w:val="en-US" w:eastAsia="en-US" w:bidi="ar-SA"/>
    </w:rPr>
  </w:style>
  <w:style w:type="paragraph" w:customStyle="1" w:styleId="SubmissionIDNumber">
    <w:name w:val="SubmissionIDNumber"/>
    <w:basedOn w:val="a"/>
    <w:next w:val="a"/>
    <w:link w:val="SubmissionIDNumberCharChar"/>
    <w:rsid w:val="00903635"/>
  </w:style>
  <w:style w:type="character" w:customStyle="1" w:styleId="SubmissionIDNumberCharChar">
    <w:name w:val="SubmissionIDNumber Char Char"/>
    <w:basedOn w:val="a0"/>
    <w:link w:val="SubmissionIDNumber"/>
    <w:rsid w:val="00903635"/>
    <w:rPr>
      <w:rFonts w:ascii="Arial" w:eastAsia="Times" w:hAnsi="Arial"/>
      <w:sz w:val="24"/>
      <w:lang w:val="en-US" w:eastAsia="en-US" w:bidi="ar-SA"/>
    </w:rPr>
  </w:style>
  <w:style w:type="character" w:customStyle="1" w:styleId="Hidden">
    <w:name w:val="Hidden"/>
    <w:basedOn w:val="a0"/>
    <w:rsid w:val="00903635"/>
    <w:rPr>
      <w:vanish/>
      <w:color w:val="FF0000"/>
      <w:sz w:val="26"/>
      <w:szCs w:val="26"/>
    </w:rPr>
  </w:style>
  <w:style w:type="paragraph" w:styleId="21">
    <w:name w:val="toc 2"/>
    <w:basedOn w:val="a"/>
    <w:next w:val="a"/>
    <w:autoRedefine/>
    <w:uiPriority w:val="39"/>
    <w:rsid w:val="00BB7782"/>
    <w:pPr>
      <w:tabs>
        <w:tab w:val="left" w:pos="1260"/>
        <w:tab w:val="right" w:leader="dot" w:pos="8640"/>
      </w:tabs>
      <w:ind w:left="1260" w:hanging="540"/>
    </w:pPr>
  </w:style>
  <w:style w:type="paragraph" w:styleId="31">
    <w:name w:val="toc 3"/>
    <w:basedOn w:val="a"/>
    <w:next w:val="a"/>
    <w:autoRedefine/>
    <w:uiPriority w:val="39"/>
    <w:rsid w:val="00BB7782"/>
    <w:pPr>
      <w:tabs>
        <w:tab w:val="left" w:pos="1800"/>
        <w:tab w:val="right" w:leader="dot" w:pos="8640"/>
      </w:tabs>
      <w:ind w:left="1800" w:hanging="720"/>
    </w:pPr>
  </w:style>
  <w:style w:type="paragraph" w:styleId="10">
    <w:name w:val="toc 1"/>
    <w:basedOn w:val="a"/>
    <w:next w:val="a"/>
    <w:autoRedefine/>
    <w:uiPriority w:val="39"/>
    <w:rsid w:val="00156ADE"/>
    <w:pPr>
      <w:tabs>
        <w:tab w:val="left" w:pos="709"/>
        <w:tab w:val="right" w:leader="dot" w:pos="8640"/>
      </w:tabs>
      <w:spacing w:before="240" w:after="240"/>
    </w:pPr>
    <w:rPr>
      <w:b/>
    </w:rPr>
  </w:style>
  <w:style w:type="table" w:styleId="a6">
    <w:name w:val="Table Grid"/>
    <w:basedOn w:val="a1"/>
    <w:uiPriority w:val="59"/>
    <w:rsid w:val="00CB3418"/>
    <w:rPr>
      <w:rFonts w:ascii="Arial" w:eastAsia="Times New Roman"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ightIndent">
    <w:name w:val="Right Indent"/>
    <w:basedOn w:val="a"/>
    <w:link w:val="RightIndentChar"/>
    <w:rsid w:val="000B02C5"/>
    <w:pPr>
      <w:ind w:right="2880"/>
    </w:pPr>
  </w:style>
  <w:style w:type="character" w:customStyle="1" w:styleId="RightIndentChar">
    <w:name w:val="Right Indent Char"/>
    <w:basedOn w:val="a0"/>
    <w:link w:val="RightIndent"/>
    <w:rsid w:val="0008720A"/>
    <w:rPr>
      <w:rFonts w:ascii="Arial" w:eastAsia="Times" w:hAnsi="Arial"/>
      <w:lang w:val="en-US" w:eastAsia="en-US" w:bidi="ar-SA"/>
    </w:rPr>
  </w:style>
  <w:style w:type="paragraph" w:customStyle="1" w:styleId="MHI-BodyCopy">
    <w:name w:val="MHI-Body Copy"/>
    <w:basedOn w:val="a"/>
    <w:rsid w:val="00C013D5"/>
    <w:pPr>
      <w:spacing w:line="240" w:lineRule="exact"/>
    </w:pPr>
  </w:style>
  <w:style w:type="paragraph" w:customStyle="1" w:styleId="MHI-Subhead">
    <w:name w:val="MHI-Subhead"/>
    <w:basedOn w:val="a"/>
    <w:next w:val="MHI-BodyCopy"/>
    <w:rsid w:val="00C013D5"/>
    <w:pPr>
      <w:tabs>
        <w:tab w:val="num" w:pos="522"/>
      </w:tabs>
      <w:spacing w:line="240" w:lineRule="auto"/>
      <w:ind w:left="612" w:hanging="612"/>
    </w:pPr>
    <w:rPr>
      <w:b/>
    </w:rPr>
  </w:style>
  <w:style w:type="paragraph" w:customStyle="1" w:styleId="MHI-BulletInset">
    <w:name w:val="MHI-Bullet Inset"/>
    <w:basedOn w:val="a"/>
    <w:rsid w:val="00C013D5"/>
    <w:pPr>
      <w:tabs>
        <w:tab w:val="num" w:pos="720"/>
      </w:tabs>
      <w:spacing w:line="240" w:lineRule="exact"/>
      <w:ind w:left="720" w:hanging="720"/>
    </w:pPr>
  </w:style>
  <w:style w:type="paragraph" w:customStyle="1" w:styleId="MHI-SectionSubhead">
    <w:name w:val="MHI-Section Subhead"/>
    <w:next w:val="MHI-BodyCopy"/>
    <w:rsid w:val="005279F3"/>
    <w:pPr>
      <w:tabs>
        <w:tab w:val="num" w:pos="360"/>
      </w:tabs>
      <w:ind w:left="360" w:hanging="360"/>
    </w:pPr>
    <w:rPr>
      <w:rFonts w:ascii="Arial" w:hAnsi="Arial"/>
      <w:b/>
    </w:rPr>
  </w:style>
  <w:style w:type="paragraph" w:customStyle="1" w:styleId="MHI-PhotoCaption">
    <w:name w:val="MHI-Photo Caption"/>
    <w:basedOn w:val="a"/>
    <w:rsid w:val="00940557"/>
    <w:pPr>
      <w:spacing w:line="180" w:lineRule="exact"/>
      <w:ind w:right="418"/>
    </w:pPr>
    <w:rPr>
      <w:sz w:val="14"/>
    </w:rPr>
  </w:style>
  <w:style w:type="paragraph" w:styleId="a7">
    <w:name w:val="Document Map"/>
    <w:basedOn w:val="a"/>
    <w:semiHidden/>
    <w:rsid w:val="00940DEE"/>
    <w:pPr>
      <w:shd w:val="clear" w:color="auto" w:fill="000080"/>
    </w:pPr>
    <w:rPr>
      <w:rFonts w:ascii="Tahoma" w:hAnsi="Tahoma" w:cs="Tahoma"/>
    </w:rPr>
  </w:style>
  <w:style w:type="paragraph" w:styleId="32">
    <w:name w:val="Body Text 3"/>
    <w:basedOn w:val="a"/>
    <w:link w:val="33"/>
    <w:rsid w:val="00EF3C0D"/>
    <w:pPr>
      <w:widowControl w:val="0"/>
      <w:tabs>
        <w:tab w:val="left" w:pos="-720"/>
        <w:tab w:val="left" w:pos="0"/>
        <w:tab w:val="left" w:pos="360"/>
        <w:tab w:val="left" w:pos="1440"/>
      </w:tabs>
      <w:spacing w:line="240" w:lineRule="auto"/>
    </w:pPr>
    <w:rPr>
      <w:rFonts w:ascii="CG Times" w:eastAsia="Times New Roman" w:hAnsi="CG Times" w:cs="Arial"/>
      <w:snapToGrid w:val="0"/>
      <w:szCs w:val="24"/>
      <w:lang w:val="en-GB"/>
    </w:rPr>
  </w:style>
  <w:style w:type="character" w:customStyle="1" w:styleId="33">
    <w:name w:val="Body Text 3 Char"/>
    <w:basedOn w:val="a0"/>
    <w:link w:val="32"/>
    <w:rsid w:val="00EF3C0D"/>
    <w:rPr>
      <w:rFonts w:ascii="CG Times" w:eastAsia="Times New Roman" w:hAnsi="CG Times" w:cs="Arial"/>
      <w:snapToGrid w:val="0"/>
      <w:szCs w:val="24"/>
      <w:lang w:val="en-GB"/>
    </w:rPr>
  </w:style>
  <w:style w:type="character" w:styleId="a8">
    <w:name w:val="Hyperlink"/>
    <w:uiPriority w:val="99"/>
    <w:rsid w:val="00EF3C0D"/>
    <w:rPr>
      <w:color w:val="0000FF"/>
      <w:u w:val="single"/>
    </w:rPr>
  </w:style>
  <w:style w:type="paragraph" w:customStyle="1" w:styleId="a9">
    <w:name w:val="_"/>
    <w:basedOn w:val="a"/>
    <w:rsid w:val="00EF3C0D"/>
    <w:pPr>
      <w:widowControl w:val="0"/>
      <w:spacing w:line="240" w:lineRule="auto"/>
      <w:ind w:left="756" w:hanging="378"/>
    </w:pPr>
    <w:rPr>
      <w:rFonts w:ascii="Times New Roman" w:eastAsia="Times New Roman" w:hAnsi="Times New Roman"/>
      <w:snapToGrid w:val="0"/>
      <w:sz w:val="24"/>
      <w:lang w:val="en-US"/>
    </w:rPr>
  </w:style>
  <w:style w:type="paragraph" w:styleId="aa">
    <w:name w:val="Balloon Text"/>
    <w:basedOn w:val="a"/>
    <w:link w:val="ab"/>
    <w:rsid w:val="0086192D"/>
    <w:pPr>
      <w:spacing w:line="240" w:lineRule="auto"/>
    </w:pPr>
    <w:rPr>
      <w:rFonts w:ascii="Lucida Grande" w:hAnsi="Lucida Grande" w:cs="Lucida Grande"/>
      <w:sz w:val="18"/>
      <w:szCs w:val="18"/>
    </w:rPr>
  </w:style>
  <w:style w:type="character" w:customStyle="1" w:styleId="ab">
    <w:name w:val="Balloon Text Char"/>
    <w:basedOn w:val="a0"/>
    <w:link w:val="aa"/>
    <w:rsid w:val="0086192D"/>
    <w:rPr>
      <w:rFonts w:ascii="Lucida Grande" w:hAnsi="Lucida Grande" w:cs="Lucida Grande"/>
      <w:sz w:val="18"/>
      <w:szCs w:val="18"/>
      <w:lang w:val="en-CA"/>
    </w:rPr>
  </w:style>
  <w:style w:type="paragraph" w:styleId="ac">
    <w:name w:val="List Paragraph"/>
    <w:basedOn w:val="a"/>
    <w:uiPriority w:val="34"/>
    <w:qFormat/>
    <w:rsid w:val="00B83BED"/>
    <w:pPr>
      <w:spacing w:line="240" w:lineRule="auto"/>
      <w:ind w:left="720"/>
      <w:contextualSpacing/>
    </w:pPr>
    <w:rPr>
      <w:rFonts w:ascii="Times New Roman" w:eastAsia="Times New Roman" w:hAnsi="Times New Roman"/>
      <w:sz w:val="24"/>
    </w:rPr>
  </w:style>
  <w:style w:type="character" w:customStyle="1" w:styleId="30">
    <w:name w:val="Heading 3 Char"/>
    <w:aliases w:val="Minor Char,3 Char"/>
    <w:link w:val="3"/>
    <w:rsid w:val="004C3224"/>
    <w:rPr>
      <w:rFonts w:ascii="Arial" w:hAnsi="Arial" w:cs="Arial"/>
      <w:b/>
      <w:bCs/>
      <w:sz w:val="22"/>
      <w:szCs w:val="26"/>
      <w:lang w:val="en-GB"/>
    </w:rPr>
  </w:style>
  <w:style w:type="paragraph" w:customStyle="1" w:styleId="MHI-TABLECAPS">
    <w:name w:val="MHI-TABLE (CAPS)"/>
    <w:rsid w:val="00B33599"/>
    <w:pPr>
      <w:tabs>
        <w:tab w:val="left" w:leader="dot" w:pos="2160"/>
      </w:tabs>
      <w:spacing w:before="120" w:line="180" w:lineRule="exact"/>
    </w:pPr>
    <w:rPr>
      <w:rFonts w:ascii="Arial" w:hAnsi="Arial"/>
      <w:sz w:val="12"/>
    </w:rPr>
  </w:style>
  <w:style w:type="paragraph" w:customStyle="1" w:styleId="MHI-TableRoman">
    <w:name w:val="MHI-Table Roman"/>
    <w:basedOn w:val="a"/>
    <w:rsid w:val="00B33599"/>
    <w:pPr>
      <w:tabs>
        <w:tab w:val="left" w:leader="dot" w:pos="2160"/>
      </w:tabs>
      <w:spacing w:line="240" w:lineRule="exact"/>
    </w:pPr>
    <w:rPr>
      <w:sz w:val="18"/>
      <w:lang w:val="en-US"/>
    </w:rPr>
  </w:style>
  <w:style w:type="paragraph" w:customStyle="1" w:styleId="MHI-HeadlineSmall">
    <w:name w:val="MHI-Headline Small"/>
    <w:rsid w:val="00B33599"/>
    <w:pPr>
      <w:spacing w:before="120"/>
    </w:pPr>
    <w:rPr>
      <w:rFonts w:ascii="Arial" w:hAnsi="Arial"/>
      <w:b/>
      <w:kern w:val="32"/>
      <w:sz w:val="24"/>
      <w:szCs w:val="32"/>
    </w:rPr>
  </w:style>
  <w:style w:type="paragraph" w:customStyle="1" w:styleId="MHI-TableItalic">
    <w:name w:val="MHI-Table Italic"/>
    <w:basedOn w:val="MHI-TableRoman"/>
    <w:rsid w:val="00B33599"/>
    <w:rPr>
      <w:i/>
      <w:szCs w:val="18"/>
    </w:rPr>
  </w:style>
  <w:style w:type="paragraph" w:styleId="ad">
    <w:name w:val="header"/>
    <w:basedOn w:val="a"/>
    <w:link w:val="ae"/>
    <w:rsid w:val="00B33902"/>
    <w:pPr>
      <w:tabs>
        <w:tab w:val="center" w:pos="4320"/>
        <w:tab w:val="right" w:pos="8640"/>
      </w:tabs>
    </w:pPr>
  </w:style>
  <w:style w:type="character" w:customStyle="1" w:styleId="ae">
    <w:name w:val="Header Char"/>
    <w:basedOn w:val="a0"/>
    <w:link w:val="ad"/>
    <w:rsid w:val="00B33902"/>
    <w:rPr>
      <w:rFonts w:ascii="Arial" w:hAnsi="Arial"/>
      <w:lang w:val="en-CA"/>
    </w:rPr>
  </w:style>
  <w:style w:type="character" w:customStyle="1" w:styleId="a5">
    <w:name w:val="Footer Char"/>
    <w:basedOn w:val="a0"/>
    <w:link w:val="a4"/>
    <w:uiPriority w:val="99"/>
    <w:rsid w:val="00B33902"/>
    <w:rPr>
      <w:rFonts w:ascii="Arial" w:hAnsi="Arial"/>
      <w:lang w:val="en-CA"/>
    </w:rPr>
  </w:style>
  <w:style w:type="paragraph" w:customStyle="1" w:styleId="BasicParagraph">
    <w:name w:val="[Basic Paragraph]"/>
    <w:basedOn w:val="a"/>
    <w:rsid w:val="00B33902"/>
    <w:pPr>
      <w:widowControl w:val="0"/>
      <w:autoSpaceDE w:val="0"/>
      <w:autoSpaceDN w:val="0"/>
      <w:adjustRightInd w:val="0"/>
      <w:spacing w:line="288" w:lineRule="auto"/>
      <w:textAlignment w:val="center"/>
    </w:pPr>
    <w:rPr>
      <w:rFonts w:ascii="Times-Roman" w:eastAsia="Times New Roman" w:hAnsi="Times-Roman" w:cs="Times-Roman"/>
      <w:color w:val="000000"/>
      <w:sz w:val="24"/>
      <w:szCs w:val="24"/>
      <w:lang w:val="en-US" w:bidi="en-US"/>
    </w:rPr>
  </w:style>
  <w:style w:type="paragraph" w:customStyle="1" w:styleId="Normal-bold">
    <w:name w:val="Normal - bold"/>
    <w:basedOn w:val="a"/>
    <w:link w:val="Normal-boldChar"/>
    <w:qFormat/>
    <w:rsid w:val="004C3224"/>
    <w:pPr>
      <w:spacing w:before="120" w:after="120"/>
    </w:pPr>
    <w:rPr>
      <w:rFonts w:cstheme="majorHAnsi"/>
      <w:b/>
    </w:rPr>
  </w:style>
  <w:style w:type="character" w:customStyle="1" w:styleId="Normal-boldChar">
    <w:name w:val="Normal - bold Char"/>
    <w:basedOn w:val="a0"/>
    <w:link w:val="Normal-bold"/>
    <w:rsid w:val="004C3224"/>
    <w:rPr>
      <w:rFonts w:ascii="Arial" w:hAnsi="Arial" w:cstheme="majorHAnsi"/>
      <w:b/>
      <w:lang w:val="en-CA"/>
    </w:rPr>
  </w:style>
  <w:style w:type="character" w:customStyle="1" w:styleId="notranslate">
    <w:name w:val="notranslate"/>
    <w:basedOn w:val="a0"/>
    <w:rsid w:val="00CD5E59"/>
  </w:style>
  <w:style w:type="character" w:customStyle="1" w:styleId="apple-converted-space">
    <w:name w:val="apple-converted-space"/>
    <w:basedOn w:val="a0"/>
    <w:rsid w:val="00CD5E59"/>
  </w:style>
  <w:style w:type="character" w:styleId="af">
    <w:name w:val="annotation reference"/>
    <w:basedOn w:val="a0"/>
    <w:uiPriority w:val="99"/>
    <w:rsid w:val="00225C54"/>
    <w:rPr>
      <w:sz w:val="16"/>
      <w:szCs w:val="16"/>
    </w:rPr>
  </w:style>
  <w:style w:type="paragraph" w:styleId="af0">
    <w:name w:val="annotation text"/>
    <w:basedOn w:val="a"/>
    <w:link w:val="af1"/>
    <w:uiPriority w:val="99"/>
    <w:rsid w:val="00225C54"/>
    <w:pPr>
      <w:spacing w:line="240" w:lineRule="auto"/>
    </w:pPr>
  </w:style>
  <w:style w:type="character" w:customStyle="1" w:styleId="af1">
    <w:name w:val="Comment Text Char"/>
    <w:basedOn w:val="a0"/>
    <w:link w:val="af0"/>
    <w:uiPriority w:val="99"/>
    <w:rsid w:val="00225C54"/>
    <w:rPr>
      <w:rFonts w:ascii="Arial" w:hAnsi="Arial"/>
      <w:lang w:val="en-CA"/>
    </w:rPr>
  </w:style>
  <w:style w:type="paragraph" w:styleId="af2">
    <w:name w:val="annotation subject"/>
    <w:basedOn w:val="af0"/>
    <w:next w:val="af0"/>
    <w:link w:val="af3"/>
    <w:rsid w:val="00225C54"/>
    <w:rPr>
      <w:b/>
      <w:bCs/>
    </w:rPr>
  </w:style>
  <w:style w:type="character" w:customStyle="1" w:styleId="af3">
    <w:name w:val="Comment Subject Char"/>
    <w:basedOn w:val="af1"/>
    <w:link w:val="af2"/>
    <w:rsid w:val="00225C54"/>
    <w:rPr>
      <w:rFonts w:ascii="Arial" w:hAnsi="Arial"/>
      <w:b/>
      <w:bCs/>
      <w:lang w:val="en-CA"/>
    </w:rPr>
  </w:style>
  <w:style w:type="paragraph" w:styleId="af4">
    <w:name w:val="caption"/>
    <w:basedOn w:val="a"/>
    <w:next w:val="a"/>
    <w:unhideWhenUsed/>
    <w:qFormat/>
    <w:rsid w:val="00883BD7"/>
    <w:pPr>
      <w:spacing w:after="200" w:line="240" w:lineRule="auto"/>
    </w:pPr>
    <w:rPr>
      <w:b/>
      <w:bCs/>
      <w:color w:val="4F81BD" w:themeColor="accent1"/>
      <w:sz w:val="18"/>
      <w:szCs w:val="18"/>
    </w:rPr>
  </w:style>
  <w:style w:type="paragraph" w:styleId="af5">
    <w:name w:val="footnote text"/>
    <w:basedOn w:val="a"/>
    <w:link w:val="af6"/>
    <w:uiPriority w:val="99"/>
    <w:unhideWhenUsed/>
    <w:rsid w:val="008E630E"/>
    <w:pPr>
      <w:spacing w:line="240" w:lineRule="auto"/>
      <w:jc w:val="both"/>
    </w:pPr>
    <w:rPr>
      <w:rFonts w:ascii="Verdana" w:eastAsia="Times New Roman" w:hAnsi="Verdana"/>
    </w:rPr>
  </w:style>
  <w:style w:type="character" w:customStyle="1" w:styleId="af6">
    <w:name w:val="Footnote Text Char"/>
    <w:basedOn w:val="a0"/>
    <w:link w:val="af5"/>
    <w:uiPriority w:val="99"/>
    <w:rsid w:val="008E630E"/>
    <w:rPr>
      <w:rFonts w:ascii="Verdana" w:eastAsia="Times New Roman" w:hAnsi="Verdana"/>
      <w:lang w:val="en-CA"/>
    </w:rPr>
  </w:style>
  <w:style w:type="character" w:styleId="af7">
    <w:name w:val="footnote reference"/>
    <w:basedOn w:val="a0"/>
    <w:uiPriority w:val="99"/>
    <w:unhideWhenUsed/>
    <w:rsid w:val="008E630E"/>
    <w:rPr>
      <w:vertAlign w:val="superscript"/>
    </w:rPr>
  </w:style>
  <w:style w:type="paragraph" w:customStyle="1" w:styleId="t">
    <w:name w:val="t"/>
    <w:aliases w:val="text"/>
    <w:basedOn w:val="a"/>
    <w:rsid w:val="00CF0263"/>
    <w:pPr>
      <w:tabs>
        <w:tab w:val="left" w:pos="-1440"/>
        <w:tab w:val="left" w:pos="-720"/>
      </w:tabs>
      <w:spacing w:after="240" w:line="240" w:lineRule="auto"/>
    </w:pPr>
    <w:rPr>
      <w:rFonts w:ascii="Times New Roman" w:eastAsia="Times New Roman" w:hAnsi="Times New Roman"/>
      <w:sz w:val="24"/>
      <w:lang w:val="en-US"/>
    </w:rPr>
  </w:style>
</w:styles>
</file>

<file path=word/webSettings.xml><?xml version="1.0" encoding="utf-8"?>
<w:webSettings xmlns:r="http://schemas.openxmlformats.org/officeDocument/2006/relationships" xmlns:w="http://schemas.openxmlformats.org/wordprocessingml/2006/main">
  <w:divs>
    <w:div w:id="39601510">
      <w:bodyDiv w:val="1"/>
      <w:marLeft w:val="0"/>
      <w:marRight w:val="0"/>
      <w:marTop w:val="0"/>
      <w:marBottom w:val="0"/>
      <w:divBdr>
        <w:top w:val="none" w:sz="0" w:space="0" w:color="auto"/>
        <w:left w:val="none" w:sz="0" w:space="0" w:color="auto"/>
        <w:bottom w:val="none" w:sz="0" w:space="0" w:color="auto"/>
        <w:right w:val="none" w:sz="0" w:space="0" w:color="auto"/>
      </w:divBdr>
    </w:div>
    <w:div w:id="124587163">
      <w:bodyDiv w:val="1"/>
      <w:marLeft w:val="0"/>
      <w:marRight w:val="0"/>
      <w:marTop w:val="0"/>
      <w:marBottom w:val="0"/>
      <w:divBdr>
        <w:top w:val="none" w:sz="0" w:space="0" w:color="auto"/>
        <w:left w:val="none" w:sz="0" w:space="0" w:color="auto"/>
        <w:bottom w:val="none" w:sz="0" w:space="0" w:color="auto"/>
        <w:right w:val="none" w:sz="0" w:space="0" w:color="auto"/>
      </w:divBdr>
    </w:div>
    <w:div w:id="408306927">
      <w:bodyDiv w:val="1"/>
      <w:marLeft w:val="0"/>
      <w:marRight w:val="0"/>
      <w:marTop w:val="0"/>
      <w:marBottom w:val="0"/>
      <w:divBdr>
        <w:top w:val="none" w:sz="0" w:space="0" w:color="auto"/>
        <w:left w:val="none" w:sz="0" w:space="0" w:color="auto"/>
        <w:bottom w:val="none" w:sz="0" w:space="0" w:color="auto"/>
        <w:right w:val="none" w:sz="0" w:space="0" w:color="auto"/>
      </w:divBdr>
    </w:div>
    <w:div w:id="512115213">
      <w:bodyDiv w:val="1"/>
      <w:marLeft w:val="0"/>
      <w:marRight w:val="0"/>
      <w:marTop w:val="0"/>
      <w:marBottom w:val="0"/>
      <w:divBdr>
        <w:top w:val="none" w:sz="0" w:space="0" w:color="auto"/>
        <w:left w:val="none" w:sz="0" w:space="0" w:color="auto"/>
        <w:bottom w:val="none" w:sz="0" w:space="0" w:color="auto"/>
        <w:right w:val="none" w:sz="0" w:space="0" w:color="auto"/>
      </w:divBdr>
    </w:div>
    <w:div w:id="654605677">
      <w:bodyDiv w:val="1"/>
      <w:marLeft w:val="0"/>
      <w:marRight w:val="0"/>
      <w:marTop w:val="0"/>
      <w:marBottom w:val="0"/>
      <w:divBdr>
        <w:top w:val="none" w:sz="0" w:space="0" w:color="auto"/>
        <w:left w:val="none" w:sz="0" w:space="0" w:color="auto"/>
        <w:bottom w:val="none" w:sz="0" w:space="0" w:color="auto"/>
        <w:right w:val="none" w:sz="0" w:space="0" w:color="auto"/>
      </w:divBdr>
    </w:div>
    <w:div w:id="753166825">
      <w:bodyDiv w:val="1"/>
      <w:marLeft w:val="0"/>
      <w:marRight w:val="0"/>
      <w:marTop w:val="0"/>
      <w:marBottom w:val="0"/>
      <w:divBdr>
        <w:top w:val="none" w:sz="0" w:space="0" w:color="auto"/>
        <w:left w:val="none" w:sz="0" w:space="0" w:color="auto"/>
        <w:bottom w:val="none" w:sz="0" w:space="0" w:color="auto"/>
        <w:right w:val="none" w:sz="0" w:space="0" w:color="auto"/>
      </w:divBdr>
    </w:div>
    <w:div w:id="766655457">
      <w:bodyDiv w:val="1"/>
      <w:marLeft w:val="0"/>
      <w:marRight w:val="0"/>
      <w:marTop w:val="0"/>
      <w:marBottom w:val="0"/>
      <w:divBdr>
        <w:top w:val="none" w:sz="0" w:space="0" w:color="auto"/>
        <w:left w:val="none" w:sz="0" w:space="0" w:color="auto"/>
        <w:bottom w:val="none" w:sz="0" w:space="0" w:color="auto"/>
        <w:right w:val="none" w:sz="0" w:space="0" w:color="auto"/>
      </w:divBdr>
    </w:div>
    <w:div w:id="935944556">
      <w:bodyDiv w:val="1"/>
      <w:marLeft w:val="0"/>
      <w:marRight w:val="0"/>
      <w:marTop w:val="0"/>
      <w:marBottom w:val="0"/>
      <w:divBdr>
        <w:top w:val="none" w:sz="0" w:space="0" w:color="auto"/>
        <w:left w:val="none" w:sz="0" w:space="0" w:color="auto"/>
        <w:bottom w:val="none" w:sz="0" w:space="0" w:color="auto"/>
        <w:right w:val="none" w:sz="0" w:space="0" w:color="auto"/>
      </w:divBdr>
    </w:div>
    <w:div w:id="1089497645">
      <w:bodyDiv w:val="1"/>
      <w:marLeft w:val="0"/>
      <w:marRight w:val="0"/>
      <w:marTop w:val="0"/>
      <w:marBottom w:val="0"/>
      <w:divBdr>
        <w:top w:val="none" w:sz="0" w:space="0" w:color="auto"/>
        <w:left w:val="none" w:sz="0" w:space="0" w:color="auto"/>
        <w:bottom w:val="none" w:sz="0" w:space="0" w:color="auto"/>
        <w:right w:val="none" w:sz="0" w:space="0" w:color="auto"/>
      </w:divBdr>
    </w:div>
    <w:div w:id="1122454199">
      <w:bodyDiv w:val="1"/>
      <w:marLeft w:val="0"/>
      <w:marRight w:val="0"/>
      <w:marTop w:val="0"/>
      <w:marBottom w:val="0"/>
      <w:divBdr>
        <w:top w:val="none" w:sz="0" w:space="0" w:color="auto"/>
        <w:left w:val="none" w:sz="0" w:space="0" w:color="auto"/>
        <w:bottom w:val="none" w:sz="0" w:space="0" w:color="auto"/>
        <w:right w:val="none" w:sz="0" w:space="0" w:color="auto"/>
      </w:divBdr>
    </w:div>
    <w:div w:id="1174802416">
      <w:bodyDiv w:val="1"/>
      <w:marLeft w:val="0"/>
      <w:marRight w:val="0"/>
      <w:marTop w:val="0"/>
      <w:marBottom w:val="0"/>
      <w:divBdr>
        <w:top w:val="none" w:sz="0" w:space="0" w:color="auto"/>
        <w:left w:val="none" w:sz="0" w:space="0" w:color="auto"/>
        <w:bottom w:val="none" w:sz="0" w:space="0" w:color="auto"/>
        <w:right w:val="none" w:sz="0" w:space="0" w:color="auto"/>
      </w:divBdr>
    </w:div>
    <w:div w:id="1193032973">
      <w:bodyDiv w:val="1"/>
      <w:marLeft w:val="0"/>
      <w:marRight w:val="0"/>
      <w:marTop w:val="0"/>
      <w:marBottom w:val="0"/>
      <w:divBdr>
        <w:top w:val="none" w:sz="0" w:space="0" w:color="auto"/>
        <w:left w:val="none" w:sz="0" w:space="0" w:color="auto"/>
        <w:bottom w:val="none" w:sz="0" w:space="0" w:color="auto"/>
        <w:right w:val="none" w:sz="0" w:space="0" w:color="auto"/>
      </w:divBdr>
    </w:div>
    <w:div w:id="1265841607">
      <w:bodyDiv w:val="1"/>
      <w:marLeft w:val="0"/>
      <w:marRight w:val="0"/>
      <w:marTop w:val="0"/>
      <w:marBottom w:val="0"/>
      <w:divBdr>
        <w:top w:val="none" w:sz="0" w:space="0" w:color="auto"/>
        <w:left w:val="none" w:sz="0" w:space="0" w:color="auto"/>
        <w:bottom w:val="none" w:sz="0" w:space="0" w:color="auto"/>
        <w:right w:val="none" w:sz="0" w:space="0" w:color="auto"/>
      </w:divBdr>
    </w:div>
    <w:div w:id="1492915296">
      <w:bodyDiv w:val="1"/>
      <w:marLeft w:val="0"/>
      <w:marRight w:val="0"/>
      <w:marTop w:val="0"/>
      <w:marBottom w:val="0"/>
      <w:divBdr>
        <w:top w:val="none" w:sz="0" w:space="0" w:color="auto"/>
        <w:left w:val="none" w:sz="0" w:space="0" w:color="auto"/>
        <w:bottom w:val="none" w:sz="0" w:space="0" w:color="auto"/>
        <w:right w:val="none" w:sz="0" w:space="0" w:color="auto"/>
      </w:divBdr>
    </w:div>
    <w:div w:id="1623073949">
      <w:bodyDiv w:val="1"/>
      <w:marLeft w:val="0"/>
      <w:marRight w:val="0"/>
      <w:marTop w:val="0"/>
      <w:marBottom w:val="0"/>
      <w:divBdr>
        <w:top w:val="none" w:sz="0" w:space="0" w:color="auto"/>
        <w:left w:val="none" w:sz="0" w:space="0" w:color="auto"/>
        <w:bottom w:val="none" w:sz="0" w:space="0" w:color="auto"/>
        <w:right w:val="none" w:sz="0" w:space="0" w:color="auto"/>
      </w:divBdr>
    </w:div>
    <w:div w:id="1758021034">
      <w:bodyDiv w:val="1"/>
      <w:marLeft w:val="0"/>
      <w:marRight w:val="0"/>
      <w:marTop w:val="0"/>
      <w:marBottom w:val="0"/>
      <w:divBdr>
        <w:top w:val="none" w:sz="0" w:space="0" w:color="auto"/>
        <w:left w:val="none" w:sz="0" w:space="0" w:color="auto"/>
        <w:bottom w:val="none" w:sz="0" w:space="0" w:color="auto"/>
        <w:right w:val="none" w:sz="0" w:space="0" w:color="auto"/>
      </w:divBdr>
    </w:div>
    <w:div w:id="20513434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2B428-B18A-4430-9A10-EB3FBDC82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18</Pages>
  <Words>3161</Words>
  <Characters>18022</Characters>
  <Application>Microsoft Office Word</Application>
  <DocSecurity>0</DocSecurity>
  <Lines>150</Lines>
  <Paragraphs>42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Proposal</vt:lpstr>
      <vt:lpstr>Proposal</vt:lpstr>
    </vt:vector>
  </TitlesOfParts>
  <Company>Garrick Consulting Services, Inc.</Company>
  <LinksUpToDate>false</LinksUpToDate>
  <CharactersWithSpaces>21141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dc:title>
  <dc:creator>William Russell</dc:creator>
  <cp:lastModifiedBy>tsimpson</cp:lastModifiedBy>
  <cp:revision>3</cp:revision>
  <cp:lastPrinted>2014-01-06T17:41:00Z</cp:lastPrinted>
  <dcterms:created xsi:type="dcterms:W3CDTF">2014-02-26T13:05:00Z</dcterms:created>
  <dcterms:modified xsi:type="dcterms:W3CDTF">2014-03-15T14:16:00Z</dcterms:modified>
</cp:coreProperties>
</file>