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rawings/drawing1.xml" ContentType="application/vnd.openxmlformats-officedocument.drawingml.chartshap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A5F" w:rsidRDefault="00C31506" w:rsidP="002C5333">
      <w:pPr>
        <w:spacing w:after="240"/>
        <w:jc w:val="center"/>
        <w:rPr>
          <w:b/>
          <w:sz w:val="40"/>
          <w:szCs w:val="40"/>
        </w:rPr>
      </w:pPr>
      <w:r>
        <w:rPr>
          <w:b/>
          <w:sz w:val="40"/>
          <w:szCs w:val="40"/>
        </w:rPr>
        <w:t>Appraisal of</w:t>
      </w:r>
      <w:r w:rsidR="00D476F9">
        <w:rPr>
          <w:b/>
          <w:sz w:val="40"/>
          <w:szCs w:val="40"/>
        </w:rPr>
        <w:t xml:space="preserve"> TCN Project Financing Packages</w:t>
      </w:r>
    </w:p>
    <w:p w:rsidR="00245C06" w:rsidRPr="00C31506" w:rsidRDefault="00245C06" w:rsidP="00245C06"/>
    <w:sdt>
      <w:sdtPr>
        <w:rPr>
          <w:rFonts w:asciiTheme="minorHAnsi" w:eastAsiaTheme="minorHAnsi" w:hAnsiTheme="minorHAnsi" w:cstheme="minorBidi"/>
          <w:b w:val="0"/>
          <w:bCs w:val="0"/>
          <w:color w:val="auto"/>
          <w:sz w:val="22"/>
          <w:szCs w:val="22"/>
        </w:rPr>
        <w:id w:val="11890990"/>
        <w:docPartObj>
          <w:docPartGallery w:val="Table of Contents"/>
          <w:docPartUnique/>
        </w:docPartObj>
      </w:sdtPr>
      <w:sdtEndPr>
        <w:rPr>
          <w:rFonts w:ascii="Arial" w:eastAsiaTheme="minorEastAsia" w:hAnsi="Arial" w:cs="Arial"/>
          <w:sz w:val="24"/>
          <w:szCs w:val="24"/>
        </w:rPr>
      </w:sdtEndPr>
      <w:sdtContent>
        <w:p w:rsidR="00442DA4" w:rsidRDefault="00442DA4" w:rsidP="00245C06">
          <w:pPr>
            <w:pStyle w:val="TOCHeading"/>
          </w:pPr>
          <w:r w:rsidRPr="00245C06">
            <w:t>Table of Contents</w:t>
          </w:r>
        </w:p>
        <w:p w:rsidR="002F19E0" w:rsidRDefault="00283E70">
          <w:pPr>
            <w:pStyle w:val="TOC1"/>
            <w:rPr>
              <w:rFonts w:asciiTheme="minorHAnsi" w:hAnsiTheme="minorHAnsi" w:cstheme="minorBidi"/>
              <w:sz w:val="22"/>
              <w:szCs w:val="22"/>
              <w:lang w:val="en-US" w:eastAsia="en-US"/>
            </w:rPr>
          </w:pPr>
          <w:r>
            <w:fldChar w:fldCharType="begin"/>
          </w:r>
          <w:r w:rsidR="00442DA4">
            <w:instrText xml:space="preserve"> TOC \o "1-3" \h \z \u </w:instrText>
          </w:r>
          <w:r>
            <w:fldChar w:fldCharType="separate"/>
          </w:r>
          <w:hyperlink w:anchor="_Toc382658217" w:history="1">
            <w:r w:rsidR="002F19E0" w:rsidRPr="00A425A5">
              <w:rPr>
                <w:rStyle w:val="Hyperlink"/>
              </w:rPr>
              <w:t>1</w:t>
            </w:r>
            <w:r w:rsidR="002F19E0">
              <w:rPr>
                <w:rFonts w:asciiTheme="minorHAnsi" w:hAnsiTheme="minorHAnsi" w:cstheme="minorBidi"/>
                <w:sz w:val="22"/>
                <w:szCs w:val="22"/>
                <w:lang w:val="en-US" w:eastAsia="en-US"/>
              </w:rPr>
              <w:tab/>
            </w:r>
            <w:r w:rsidR="002F19E0" w:rsidRPr="00A425A5">
              <w:rPr>
                <w:rStyle w:val="Hyperlink"/>
              </w:rPr>
              <w:t>Purpose of this Investment Appraisal</w:t>
            </w:r>
            <w:r w:rsidR="002F19E0">
              <w:rPr>
                <w:webHidden/>
              </w:rPr>
              <w:tab/>
            </w:r>
            <w:r>
              <w:rPr>
                <w:webHidden/>
              </w:rPr>
              <w:fldChar w:fldCharType="begin"/>
            </w:r>
            <w:r w:rsidR="002F19E0">
              <w:rPr>
                <w:webHidden/>
              </w:rPr>
              <w:instrText xml:space="preserve"> PAGEREF _Toc382658217 \h </w:instrText>
            </w:r>
            <w:r>
              <w:rPr>
                <w:webHidden/>
              </w:rPr>
            </w:r>
            <w:r>
              <w:rPr>
                <w:webHidden/>
              </w:rPr>
              <w:fldChar w:fldCharType="separate"/>
            </w:r>
            <w:r w:rsidR="002F19E0">
              <w:rPr>
                <w:webHidden/>
              </w:rPr>
              <w:t>1</w:t>
            </w:r>
            <w:r>
              <w:rPr>
                <w:webHidden/>
              </w:rPr>
              <w:fldChar w:fldCharType="end"/>
            </w:r>
          </w:hyperlink>
        </w:p>
        <w:p w:rsidR="002F19E0" w:rsidRDefault="00283E70">
          <w:pPr>
            <w:pStyle w:val="TOC1"/>
            <w:rPr>
              <w:rFonts w:asciiTheme="minorHAnsi" w:hAnsiTheme="minorHAnsi" w:cstheme="minorBidi"/>
              <w:sz w:val="22"/>
              <w:szCs w:val="22"/>
              <w:lang w:val="en-US" w:eastAsia="en-US"/>
            </w:rPr>
          </w:pPr>
          <w:hyperlink w:anchor="_Toc382658218" w:history="1">
            <w:r w:rsidR="002F19E0" w:rsidRPr="00A425A5">
              <w:rPr>
                <w:rStyle w:val="Hyperlink"/>
              </w:rPr>
              <w:t>2</w:t>
            </w:r>
            <w:r w:rsidR="002F19E0">
              <w:rPr>
                <w:rFonts w:asciiTheme="minorHAnsi" w:hAnsiTheme="minorHAnsi" w:cstheme="minorBidi"/>
                <w:sz w:val="22"/>
                <w:szCs w:val="22"/>
                <w:lang w:val="en-US" w:eastAsia="en-US"/>
              </w:rPr>
              <w:tab/>
            </w:r>
            <w:r w:rsidR="002F19E0" w:rsidRPr="00A425A5">
              <w:rPr>
                <w:rStyle w:val="Hyperlink"/>
              </w:rPr>
              <w:t>Need for Transmission Refurbishment and Expansion</w:t>
            </w:r>
            <w:r w:rsidR="002F19E0">
              <w:rPr>
                <w:webHidden/>
              </w:rPr>
              <w:tab/>
            </w:r>
            <w:r>
              <w:rPr>
                <w:webHidden/>
              </w:rPr>
              <w:fldChar w:fldCharType="begin"/>
            </w:r>
            <w:r w:rsidR="002F19E0">
              <w:rPr>
                <w:webHidden/>
              </w:rPr>
              <w:instrText xml:space="preserve"> PAGEREF _Toc382658218 \h </w:instrText>
            </w:r>
            <w:r>
              <w:rPr>
                <w:webHidden/>
              </w:rPr>
            </w:r>
            <w:r>
              <w:rPr>
                <w:webHidden/>
              </w:rPr>
              <w:fldChar w:fldCharType="separate"/>
            </w:r>
            <w:r w:rsidR="002F19E0">
              <w:rPr>
                <w:webHidden/>
              </w:rPr>
              <w:t>1</w:t>
            </w:r>
            <w:r>
              <w:rPr>
                <w:webHidden/>
              </w:rPr>
              <w:fldChar w:fldCharType="end"/>
            </w:r>
          </w:hyperlink>
        </w:p>
        <w:p w:rsidR="002F19E0" w:rsidRDefault="00283E70">
          <w:pPr>
            <w:pStyle w:val="TOC1"/>
            <w:rPr>
              <w:rFonts w:asciiTheme="minorHAnsi" w:hAnsiTheme="minorHAnsi" w:cstheme="minorBidi"/>
              <w:sz w:val="22"/>
              <w:szCs w:val="22"/>
              <w:lang w:val="en-US" w:eastAsia="en-US"/>
            </w:rPr>
          </w:pPr>
          <w:hyperlink w:anchor="_Toc382658219" w:history="1">
            <w:r w:rsidR="002F19E0" w:rsidRPr="00A425A5">
              <w:rPr>
                <w:rStyle w:val="Hyperlink"/>
              </w:rPr>
              <w:t>3</w:t>
            </w:r>
            <w:r w:rsidR="002F19E0">
              <w:rPr>
                <w:rFonts w:asciiTheme="minorHAnsi" w:hAnsiTheme="minorHAnsi" w:cstheme="minorBidi"/>
                <w:sz w:val="22"/>
                <w:szCs w:val="22"/>
                <w:lang w:val="en-US" w:eastAsia="en-US"/>
              </w:rPr>
              <w:tab/>
            </w:r>
            <w:r w:rsidR="002F19E0" w:rsidRPr="00A425A5">
              <w:rPr>
                <w:rStyle w:val="Hyperlink"/>
              </w:rPr>
              <w:t>Capital Funding Requirements for TCN Business Units</w:t>
            </w:r>
            <w:r w:rsidR="002F19E0">
              <w:rPr>
                <w:webHidden/>
              </w:rPr>
              <w:tab/>
            </w:r>
            <w:r>
              <w:rPr>
                <w:webHidden/>
              </w:rPr>
              <w:fldChar w:fldCharType="begin"/>
            </w:r>
            <w:r w:rsidR="002F19E0">
              <w:rPr>
                <w:webHidden/>
              </w:rPr>
              <w:instrText xml:space="preserve"> PAGEREF _Toc382658219 \h </w:instrText>
            </w:r>
            <w:r>
              <w:rPr>
                <w:webHidden/>
              </w:rPr>
            </w:r>
            <w:r>
              <w:rPr>
                <w:webHidden/>
              </w:rPr>
              <w:fldChar w:fldCharType="separate"/>
            </w:r>
            <w:r w:rsidR="002F19E0">
              <w:rPr>
                <w:webHidden/>
              </w:rPr>
              <w:t>3</w:t>
            </w:r>
            <w:r>
              <w:rPr>
                <w:webHidden/>
              </w:rPr>
              <w:fldChar w:fldCharType="end"/>
            </w:r>
          </w:hyperlink>
        </w:p>
        <w:p w:rsidR="002F19E0" w:rsidRDefault="00283E70">
          <w:pPr>
            <w:pStyle w:val="TOC2"/>
            <w:rPr>
              <w:rFonts w:asciiTheme="minorHAnsi" w:hAnsiTheme="minorHAnsi" w:cstheme="minorBidi"/>
              <w:sz w:val="22"/>
              <w:szCs w:val="22"/>
              <w:lang w:val="en-US" w:eastAsia="en-US"/>
            </w:rPr>
          </w:pPr>
          <w:hyperlink w:anchor="_Toc382658220" w:history="1">
            <w:r w:rsidR="002F19E0" w:rsidRPr="00A425A5">
              <w:rPr>
                <w:rStyle w:val="Hyperlink"/>
              </w:rPr>
              <w:t>3.1</w:t>
            </w:r>
            <w:r w:rsidR="002F19E0">
              <w:rPr>
                <w:rFonts w:asciiTheme="minorHAnsi" w:hAnsiTheme="minorHAnsi" w:cstheme="minorBidi"/>
                <w:sz w:val="22"/>
                <w:szCs w:val="22"/>
                <w:lang w:val="en-US" w:eastAsia="en-US"/>
              </w:rPr>
              <w:tab/>
            </w:r>
            <w:r w:rsidR="002F19E0" w:rsidRPr="00A425A5">
              <w:rPr>
                <w:rStyle w:val="Hyperlink"/>
              </w:rPr>
              <w:t>Transmission Services Provider</w:t>
            </w:r>
            <w:r w:rsidR="002F19E0">
              <w:rPr>
                <w:webHidden/>
              </w:rPr>
              <w:tab/>
            </w:r>
            <w:r>
              <w:rPr>
                <w:webHidden/>
              </w:rPr>
              <w:fldChar w:fldCharType="begin"/>
            </w:r>
            <w:r w:rsidR="002F19E0">
              <w:rPr>
                <w:webHidden/>
              </w:rPr>
              <w:instrText xml:space="preserve"> PAGEREF _Toc382658220 \h </w:instrText>
            </w:r>
            <w:r>
              <w:rPr>
                <w:webHidden/>
              </w:rPr>
            </w:r>
            <w:r>
              <w:rPr>
                <w:webHidden/>
              </w:rPr>
              <w:fldChar w:fldCharType="separate"/>
            </w:r>
            <w:r w:rsidR="002F19E0">
              <w:rPr>
                <w:webHidden/>
              </w:rPr>
              <w:t>3</w:t>
            </w:r>
            <w:r>
              <w:rPr>
                <w:webHidden/>
              </w:rPr>
              <w:fldChar w:fldCharType="end"/>
            </w:r>
          </w:hyperlink>
        </w:p>
        <w:p w:rsidR="002F19E0" w:rsidRDefault="00283E70">
          <w:pPr>
            <w:pStyle w:val="TOC2"/>
            <w:rPr>
              <w:rFonts w:asciiTheme="minorHAnsi" w:hAnsiTheme="minorHAnsi" w:cstheme="minorBidi"/>
              <w:sz w:val="22"/>
              <w:szCs w:val="22"/>
              <w:lang w:val="en-US" w:eastAsia="en-US"/>
            </w:rPr>
          </w:pPr>
          <w:hyperlink w:anchor="_Toc382658221" w:history="1">
            <w:r w:rsidR="002F19E0" w:rsidRPr="00A425A5">
              <w:rPr>
                <w:rStyle w:val="Hyperlink"/>
              </w:rPr>
              <w:t>3.2</w:t>
            </w:r>
            <w:r w:rsidR="002F19E0">
              <w:rPr>
                <w:rFonts w:asciiTheme="minorHAnsi" w:hAnsiTheme="minorHAnsi" w:cstheme="minorBidi"/>
                <w:sz w:val="22"/>
                <w:szCs w:val="22"/>
                <w:lang w:val="en-US" w:eastAsia="en-US"/>
              </w:rPr>
              <w:tab/>
            </w:r>
            <w:r w:rsidR="002F19E0" w:rsidRPr="00A425A5">
              <w:rPr>
                <w:rStyle w:val="Hyperlink"/>
              </w:rPr>
              <w:t>System Operator</w:t>
            </w:r>
            <w:r w:rsidR="002F19E0">
              <w:rPr>
                <w:webHidden/>
              </w:rPr>
              <w:tab/>
            </w:r>
            <w:r>
              <w:rPr>
                <w:webHidden/>
              </w:rPr>
              <w:fldChar w:fldCharType="begin"/>
            </w:r>
            <w:r w:rsidR="002F19E0">
              <w:rPr>
                <w:webHidden/>
              </w:rPr>
              <w:instrText xml:space="preserve"> PAGEREF _Toc382658221 \h </w:instrText>
            </w:r>
            <w:r>
              <w:rPr>
                <w:webHidden/>
              </w:rPr>
            </w:r>
            <w:r>
              <w:rPr>
                <w:webHidden/>
              </w:rPr>
              <w:fldChar w:fldCharType="separate"/>
            </w:r>
            <w:r w:rsidR="002F19E0">
              <w:rPr>
                <w:webHidden/>
              </w:rPr>
              <w:t>5</w:t>
            </w:r>
            <w:r>
              <w:rPr>
                <w:webHidden/>
              </w:rPr>
              <w:fldChar w:fldCharType="end"/>
            </w:r>
          </w:hyperlink>
        </w:p>
        <w:p w:rsidR="002F19E0" w:rsidRDefault="00283E70">
          <w:pPr>
            <w:pStyle w:val="TOC2"/>
            <w:rPr>
              <w:rFonts w:asciiTheme="minorHAnsi" w:hAnsiTheme="minorHAnsi" w:cstheme="minorBidi"/>
              <w:sz w:val="22"/>
              <w:szCs w:val="22"/>
              <w:lang w:val="en-US" w:eastAsia="en-US"/>
            </w:rPr>
          </w:pPr>
          <w:hyperlink w:anchor="_Toc382658222" w:history="1">
            <w:r w:rsidR="002F19E0" w:rsidRPr="00A425A5">
              <w:rPr>
                <w:rStyle w:val="Hyperlink"/>
              </w:rPr>
              <w:t>3.3</w:t>
            </w:r>
            <w:r w:rsidR="002F19E0">
              <w:rPr>
                <w:rFonts w:asciiTheme="minorHAnsi" w:hAnsiTheme="minorHAnsi" w:cstheme="minorBidi"/>
                <w:sz w:val="22"/>
                <w:szCs w:val="22"/>
                <w:lang w:val="en-US" w:eastAsia="en-US"/>
              </w:rPr>
              <w:tab/>
            </w:r>
            <w:r w:rsidR="002F19E0" w:rsidRPr="00A425A5">
              <w:rPr>
                <w:rStyle w:val="Hyperlink"/>
              </w:rPr>
              <w:t>Market Operator</w:t>
            </w:r>
            <w:r w:rsidR="002F19E0">
              <w:rPr>
                <w:webHidden/>
              </w:rPr>
              <w:tab/>
            </w:r>
            <w:r>
              <w:rPr>
                <w:webHidden/>
              </w:rPr>
              <w:fldChar w:fldCharType="begin"/>
            </w:r>
            <w:r w:rsidR="002F19E0">
              <w:rPr>
                <w:webHidden/>
              </w:rPr>
              <w:instrText xml:space="preserve"> PAGEREF _Toc382658222 \h </w:instrText>
            </w:r>
            <w:r>
              <w:rPr>
                <w:webHidden/>
              </w:rPr>
            </w:r>
            <w:r>
              <w:rPr>
                <w:webHidden/>
              </w:rPr>
              <w:fldChar w:fldCharType="separate"/>
            </w:r>
            <w:r w:rsidR="002F19E0">
              <w:rPr>
                <w:webHidden/>
              </w:rPr>
              <w:t>6</w:t>
            </w:r>
            <w:r>
              <w:rPr>
                <w:webHidden/>
              </w:rPr>
              <w:fldChar w:fldCharType="end"/>
            </w:r>
          </w:hyperlink>
        </w:p>
        <w:p w:rsidR="002F19E0" w:rsidRDefault="00283E70">
          <w:pPr>
            <w:pStyle w:val="TOC1"/>
            <w:rPr>
              <w:rFonts w:asciiTheme="minorHAnsi" w:hAnsiTheme="minorHAnsi" w:cstheme="minorBidi"/>
              <w:sz w:val="22"/>
              <w:szCs w:val="22"/>
              <w:lang w:val="en-US" w:eastAsia="en-US"/>
            </w:rPr>
          </w:pPr>
          <w:hyperlink w:anchor="_Toc382658223" w:history="1">
            <w:r w:rsidR="002F19E0" w:rsidRPr="00A425A5">
              <w:rPr>
                <w:rStyle w:val="Hyperlink"/>
              </w:rPr>
              <w:t>4</w:t>
            </w:r>
            <w:r w:rsidR="002F19E0">
              <w:rPr>
                <w:rFonts w:asciiTheme="minorHAnsi" w:hAnsiTheme="minorHAnsi" w:cstheme="minorBidi"/>
                <w:sz w:val="22"/>
                <w:szCs w:val="22"/>
                <w:lang w:val="en-US" w:eastAsia="en-US"/>
              </w:rPr>
              <w:tab/>
            </w:r>
            <w:r w:rsidR="002F19E0" w:rsidRPr="00A425A5">
              <w:rPr>
                <w:rStyle w:val="Hyperlink"/>
              </w:rPr>
              <w:t>Funding Sources and Uses</w:t>
            </w:r>
            <w:r w:rsidR="002F19E0">
              <w:rPr>
                <w:webHidden/>
              </w:rPr>
              <w:tab/>
            </w:r>
            <w:r>
              <w:rPr>
                <w:webHidden/>
              </w:rPr>
              <w:fldChar w:fldCharType="begin"/>
            </w:r>
            <w:r w:rsidR="002F19E0">
              <w:rPr>
                <w:webHidden/>
              </w:rPr>
              <w:instrText xml:space="preserve"> PAGEREF _Toc382658223 \h </w:instrText>
            </w:r>
            <w:r>
              <w:rPr>
                <w:webHidden/>
              </w:rPr>
            </w:r>
            <w:r>
              <w:rPr>
                <w:webHidden/>
              </w:rPr>
              <w:fldChar w:fldCharType="separate"/>
            </w:r>
            <w:r w:rsidR="002F19E0">
              <w:rPr>
                <w:webHidden/>
              </w:rPr>
              <w:t>7</w:t>
            </w:r>
            <w:r>
              <w:rPr>
                <w:webHidden/>
              </w:rPr>
              <w:fldChar w:fldCharType="end"/>
            </w:r>
          </w:hyperlink>
        </w:p>
        <w:p w:rsidR="002F19E0" w:rsidRDefault="00283E70">
          <w:pPr>
            <w:pStyle w:val="TOC2"/>
            <w:rPr>
              <w:rFonts w:asciiTheme="minorHAnsi" w:hAnsiTheme="minorHAnsi" w:cstheme="minorBidi"/>
              <w:sz w:val="22"/>
              <w:szCs w:val="22"/>
              <w:lang w:val="en-US" w:eastAsia="en-US"/>
            </w:rPr>
          </w:pPr>
          <w:hyperlink w:anchor="_Toc382658224" w:history="1">
            <w:r w:rsidR="002F19E0" w:rsidRPr="00A425A5">
              <w:rPr>
                <w:rStyle w:val="Hyperlink"/>
              </w:rPr>
              <w:t>4.1</w:t>
            </w:r>
            <w:r w:rsidR="002F19E0">
              <w:rPr>
                <w:rFonts w:asciiTheme="minorHAnsi" w:hAnsiTheme="minorHAnsi" w:cstheme="minorBidi"/>
                <w:sz w:val="22"/>
                <w:szCs w:val="22"/>
                <w:lang w:val="en-US" w:eastAsia="en-US"/>
              </w:rPr>
              <w:tab/>
            </w:r>
            <w:r w:rsidR="002F19E0" w:rsidRPr="00A425A5">
              <w:rPr>
                <w:rStyle w:val="Hyperlink"/>
              </w:rPr>
              <w:t>Summary of TCN Capital Expenditure Budgets</w:t>
            </w:r>
            <w:r w:rsidR="002F19E0">
              <w:rPr>
                <w:webHidden/>
              </w:rPr>
              <w:tab/>
            </w:r>
            <w:r>
              <w:rPr>
                <w:webHidden/>
              </w:rPr>
              <w:fldChar w:fldCharType="begin"/>
            </w:r>
            <w:r w:rsidR="002F19E0">
              <w:rPr>
                <w:webHidden/>
              </w:rPr>
              <w:instrText xml:space="preserve"> PAGEREF _Toc382658224 \h </w:instrText>
            </w:r>
            <w:r>
              <w:rPr>
                <w:webHidden/>
              </w:rPr>
            </w:r>
            <w:r>
              <w:rPr>
                <w:webHidden/>
              </w:rPr>
              <w:fldChar w:fldCharType="separate"/>
            </w:r>
            <w:r w:rsidR="002F19E0">
              <w:rPr>
                <w:webHidden/>
              </w:rPr>
              <w:t>7</w:t>
            </w:r>
            <w:r>
              <w:rPr>
                <w:webHidden/>
              </w:rPr>
              <w:fldChar w:fldCharType="end"/>
            </w:r>
          </w:hyperlink>
        </w:p>
        <w:p w:rsidR="002F19E0" w:rsidRDefault="00283E70">
          <w:pPr>
            <w:pStyle w:val="TOC2"/>
            <w:rPr>
              <w:rFonts w:asciiTheme="minorHAnsi" w:hAnsiTheme="minorHAnsi" w:cstheme="minorBidi"/>
              <w:sz w:val="22"/>
              <w:szCs w:val="22"/>
              <w:lang w:val="en-US" w:eastAsia="en-US"/>
            </w:rPr>
          </w:pPr>
          <w:hyperlink w:anchor="_Toc382658225" w:history="1">
            <w:r w:rsidR="002F19E0" w:rsidRPr="00A425A5">
              <w:rPr>
                <w:rStyle w:val="Hyperlink"/>
              </w:rPr>
              <w:t>4.2</w:t>
            </w:r>
            <w:r w:rsidR="002F19E0">
              <w:rPr>
                <w:rFonts w:asciiTheme="minorHAnsi" w:hAnsiTheme="minorHAnsi" w:cstheme="minorBidi"/>
                <w:sz w:val="22"/>
                <w:szCs w:val="22"/>
                <w:lang w:val="en-US" w:eastAsia="en-US"/>
              </w:rPr>
              <w:tab/>
            </w:r>
            <w:r w:rsidR="002F19E0" w:rsidRPr="00A425A5">
              <w:rPr>
                <w:rStyle w:val="Hyperlink"/>
              </w:rPr>
              <w:t>Existing and Potential Sources of Capital Funding</w:t>
            </w:r>
            <w:r w:rsidR="002F19E0">
              <w:rPr>
                <w:webHidden/>
              </w:rPr>
              <w:tab/>
            </w:r>
            <w:r>
              <w:rPr>
                <w:webHidden/>
              </w:rPr>
              <w:fldChar w:fldCharType="begin"/>
            </w:r>
            <w:r w:rsidR="002F19E0">
              <w:rPr>
                <w:webHidden/>
              </w:rPr>
              <w:instrText xml:space="preserve"> PAGEREF _Toc382658225 \h </w:instrText>
            </w:r>
            <w:r>
              <w:rPr>
                <w:webHidden/>
              </w:rPr>
            </w:r>
            <w:r>
              <w:rPr>
                <w:webHidden/>
              </w:rPr>
              <w:fldChar w:fldCharType="separate"/>
            </w:r>
            <w:r w:rsidR="002F19E0">
              <w:rPr>
                <w:webHidden/>
              </w:rPr>
              <w:t>10</w:t>
            </w:r>
            <w:r>
              <w:rPr>
                <w:webHidden/>
              </w:rPr>
              <w:fldChar w:fldCharType="end"/>
            </w:r>
          </w:hyperlink>
        </w:p>
        <w:p w:rsidR="002F19E0" w:rsidRDefault="00283E70">
          <w:pPr>
            <w:pStyle w:val="TOC1"/>
            <w:rPr>
              <w:rFonts w:asciiTheme="minorHAnsi" w:hAnsiTheme="minorHAnsi" w:cstheme="minorBidi"/>
              <w:sz w:val="22"/>
              <w:szCs w:val="22"/>
              <w:lang w:val="en-US" w:eastAsia="en-US"/>
            </w:rPr>
          </w:pPr>
          <w:hyperlink w:anchor="_Toc382658226" w:history="1">
            <w:r w:rsidR="002F19E0" w:rsidRPr="00A425A5">
              <w:rPr>
                <w:rStyle w:val="Hyperlink"/>
              </w:rPr>
              <w:t>5</w:t>
            </w:r>
            <w:r w:rsidR="002F19E0">
              <w:rPr>
                <w:rFonts w:asciiTheme="minorHAnsi" w:hAnsiTheme="minorHAnsi" w:cstheme="minorBidi"/>
                <w:sz w:val="22"/>
                <w:szCs w:val="22"/>
                <w:lang w:val="en-US" w:eastAsia="en-US"/>
              </w:rPr>
              <w:tab/>
            </w:r>
            <w:r w:rsidR="002F19E0" w:rsidRPr="00A425A5">
              <w:rPr>
                <w:rStyle w:val="Hyperlink"/>
              </w:rPr>
              <w:t>Summary of Investment Opportunity</w:t>
            </w:r>
            <w:r w:rsidR="002F19E0">
              <w:rPr>
                <w:webHidden/>
              </w:rPr>
              <w:tab/>
            </w:r>
            <w:r>
              <w:rPr>
                <w:webHidden/>
              </w:rPr>
              <w:fldChar w:fldCharType="begin"/>
            </w:r>
            <w:r w:rsidR="002F19E0">
              <w:rPr>
                <w:webHidden/>
              </w:rPr>
              <w:instrText xml:space="preserve"> PAGEREF _Toc382658226 \h </w:instrText>
            </w:r>
            <w:r>
              <w:rPr>
                <w:webHidden/>
              </w:rPr>
            </w:r>
            <w:r>
              <w:rPr>
                <w:webHidden/>
              </w:rPr>
              <w:fldChar w:fldCharType="separate"/>
            </w:r>
            <w:r w:rsidR="002F19E0">
              <w:rPr>
                <w:webHidden/>
              </w:rPr>
              <w:t>12</w:t>
            </w:r>
            <w:r>
              <w:rPr>
                <w:webHidden/>
              </w:rPr>
              <w:fldChar w:fldCharType="end"/>
            </w:r>
          </w:hyperlink>
        </w:p>
        <w:p w:rsidR="002F19E0" w:rsidRDefault="00283E70">
          <w:pPr>
            <w:pStyle w:val="TOC2"/>
            <w:rPr>
              <w:rFonts w:asciiTheme="minorHAnsi" w:hAnsiTheme="minorHAnsi" w:cstheme="minorBidi"/>
              <w:sz w:val="22"/>
              <w:szCs w:val="22"/>
              <w:lang w:val="en-US" w:eastAsia="en-US"/>
            </w:rPr>
          </w:pPr>
          <w:hyperlink w:anchor="_Toc382658227" w:history="1">
            <w:r w:rsidR="002F19E0" w:rsidRPr="00A425A5">
              <w:rPr>
                <w:rStyle w:val="Hyperlink"/>
              </w:rPr>
              <w:t>5.1</w:t>
            </w:r>
            <w:r w:rsidR="002F19E0">
              <w:rPr>
                <w:rFonts w:asciiTheme="minorHAnsi" w:hAnsiTheme="minorHAnsi" w:cstheme="minorBidi"/>
                <w:sz w:val="22"/>
                <w:szCs w:val="22"/>
                <w:lang w:val="en-US" w:eastAsia="en-US"/>
              </w:rPr>
              <w:tab/>
            </w:r>
            <w:r w:rsidR="002F19E0" w:rsidRPr="00A425A5">
              <w:rPr>
                <w:rStyle w:val="Hyperlink"/>
              </w:rPr>
              <w:t>Financing Packages</w:t>
            </w:r>
            <w:r w:rsidR="002F19E0">
              <w:rPr>
                <w:webHidden/>
              </w:rPr>
              <w:tab/>
            </w:r>
            <w:r>
              <w:rPr>
                <w:webHidden/>
              </w:rPr>
              <w:fldChar w:fldCharType="begin"/>
            </w:r>
            <w:r w:rsidR="002F19E0">
              <w:rPr>
                <w:webHidden/>
              </w:rPr>
              <w:instrText xml:space="preserve"> PAGEREF _Toc382658227 \h </w:instrText>
            </w:r>
            <w:r>
              <w:rPr>
                <w:webHidden/>
              </w:rPr>
            </w:r>
            <w:r>
              <w:rPr>
                <w:webHidden/>
              </w:rPr>
              <w:fldChar w:fldCharType="separate"/>
            </w:r>
            <w:r w:rsidR="002F19E0">
              <w:rPr>
                <w:webHidden/>
              </w:rPr>
              <w:t>12</w:t>
            </w:r>
            <w:r>
              <w:rPr>
                <w:webHidden/>
              </w:rPr>
              <w:fldChar w:fldCharType="end"/>
            </w:r>
          </w:hyperlink>
        </w:p>
        <w:p w:rsidR="002F19E0" w:rsidRDefault="00283E70">
          <w:pPr>
            <w:pStyle w:val="TOC2"/>
            <w:rPr>
              <w:rFonts w:asciiTheme="minorHAnsi" w:hAnsiTheme="minorHAnsi" w:cstheme="minorBidi"/>
              <w:sz w:val="22"/>
              <w:szCs w:val="22"/>
              <w:lang w:val="en-US" w:eastAsia="en-US"/>
            </w:rPr>
          </w:pPr>
          <w:hyperlink w:anchor="_Toc382658228" w:history="1">
            <w:r w:rsidR="002F19E0" w:rsidRPr="00A425A5">
              <w:rPr>
                <w:rStyle w:val="Hyperlink"/>
              </w:rPr>
              <w:t>5.2</w:t>
            </w:r>
            <w:r w:rsidR="002F19E0">
              <w:rPr>
                <w:rFonts w:asciiTheme="minorHAnsi" w:hAnsiTheme="minorHAnsi" w:cstheme="minorBidi"/>
                <w:sz w:val="22"/>
                <w:szCs w:val="22"/>
                <w:lang w:val="en-US" w:eastAsia="en-US"/>
              </w:rPr>
              <w:tab/>
            </w:r>
            <w:r w:rsidR="002F19E0" w:rsidRPr="00A425A5">
              <w:rPr>
                <w:rStyle w:val="Hyperlink"/>
              </w:rPr>
              <w:t>Project Prioritization</w:t>
            </w:r>
            <w:r w:rsidR="002F19E0">
              <w:rPr>
                <w:webHidden/>
              </w:rPr>
              <w:tab/>
            </w:r>
            <w:r>
              <w:rPr>
                <w:webHidden/>
              </w:rPr>
              <w:fldChar w:fldCharType="begin"/>
            </w:r>
            <w:r w:rsidR="002F19E0">
              <w:rPr>
                <w:webHidden/>
              </w:rPr>
              <w:instrText xml:space="preserve"> PAGEREF _Toc382658228 \h </w:instrText>
            </w:r>
            <w:r>
              <w:rPr>
                <w:webHidden/>
              </w:rPr>
            </w:r>
            <w:r>
              <w:rPr>
                <w:webHidden/>
              </w:rPr>
              <w:fldChar w:fldCharType="separate"/>
            </w:r>
            <w:r w:rsidR="002F19E0">
              <w:rPr>
                <w:webHidden/>
              </w:rPr>
              <w:t>13</w:t>
            </w:r>
            <w:r>
              <w:rPr>
                <w:webHidden/>
              </w:rPr>
              <w:fldChar w:fldCharType="end"/>
            </w:r>
          </w:hyperlink>
        </w:p>
        <w:p w:rsidR="002F19E0" w:rsidRDefault="00283E70">
          <w:pPr>
            <w:pStyle w:val="TOC1"/>
            <w:rPr>
              <w:rFonts w:asciiTheme="minorHAnsi" w:hAnsiTheme="minorHAnsi" w:cstheme="minorBidi"/>
              <w:sz w:val="22"/>
              <w:szCs w:val="22"/>
              <w:lang w:val="en-US" w:eastAsia="en-US"/>
            </w:rPr>
          </w:pPr>
          <w:hyperlink w:anchor="_Toc382658229" w:history="1">
            <w:r w:rsidR="002F19E0" w:rsidRPr="00A425A5">
              <w:rPr>
                <w:rStyle w:val="Hyperlink"/>
              </w:rPr>
              <w:t>6</w:t>
            </w:r>
            <w:r w:rsidR="002F19E0">
              <w:rPr>
                <w:rFonts w:asciiTheme="minorHAnsi" w:hAnsiTheme="minorHAnsi" w:cstheme="minorBidi"/>
                <w:sz w:val="22"/>
                <w:szCs w:val="22"/>
                <w:lang w:val="en-US" w:eastAsia="en-US"/>
              </w:rPr>
              <w:tab/>
            </w:r>
            <w:r w:rsidR="002F19E0" w:rsidRPr="00A425A5">
              <w:rPr>
                <w:rStyle w:val="Hyperlink"/>
              </w:rPr>
              <w:t>Investment Framework</w:t>
            </w:r>
            <w:r w:rsidR="002F19E0">
              <w:rPr>
                <w:webHidden/>
              </w:rPr>
              <w:tab/>
            </w:r>
            <w:r>
              <w:rPr>
                <w:webHidden/>
              </w:rPr>
              <w:fldChar w:fldCharType="begin"/>
            </w:r>
            <w:r w:rsidR="002F19E0">
              <w:rPr>
                <w:webHidden/>
              </w:rPr>
              <w:instrText xml:space="preserve"> PAGEREF _Toc382658229 \h </w:instrText>
            </w:r>
            <w:r>
              <w:rPr>
                <w:webHidden/>
              </w:rPr>
            </w:r>
            <w:r>
              <w:rPr>
                <w:webHidden/>
              </w:rPr>
              <w:fldChar w:fldCharType="separate"/>
            </w:r>
            <w:r w:rsidR="002F19E0">
              <w:rPr>
                <w:webHidden/>
              </w:rPr>
              <w:t>16</w:t>
            </w:r>
            <w:r>
              <w:rPr>
                <w:webHidden/>
              </w:rPr>
              <w:fldChar w:fldCharType="end"/>
            </w:r>
          </w:hyperlink>
        </w:p>
        <w:p w:rsidR="002F19E0" w:rsidRDefault="00283E70">
          <w:pPr>
            <w:pStyle w:val="TOC2"/>
            <w:rPr>
              <w:rFonts w:asciiTheme="minorHAnsi" w:hAnsiTheme="minorHAnsi" w:cstheme="minorBidi"/>
              <w:sz w:val="22"/>
              <w:szCs w:val="22"/>
              <w:lang w:val="en-US" w:eastAsia="en-US"/>
            </w:rPr>
          </w:pPr>
          <w:hyperlink w:anchor="_Toc382658230" w:history="1">
            <w:r w:rsidR="002F19E0" w:rsidRPr="00A425A5">
              <w:rPr>
                <w:rStyle w:val="Hyperlink"/>
              </w:rPr>
              <w:t>6.1</w:t>
            </w:r>
            <w:r w:rsidR="002F19E0">
              <w:rPr>
                <w:rFonts w:asciiTheme="minorHAnsi" w:hAnsiTheme="minorHAnsi" w:cstheme="minorBidi"/>
                <w:sz w:val="22"/>
                <w:szCs w:val="22"/>
                <w:lang w:val="en-US" w:eastAsia="en-US"/>
              </w:rPr>
              <w:tab/>
            </w:r>
            <w:r w:rsidR="002F19E0" w:rsidRPr="00A425A5">
              <w:rPr>
                <w:rStyle w:val="Hyperlink"/>
              </w:rPr>
              <w:t>Investment Fund Structure</w:t>
            </w:r>
            <w:r w:rsidR="002F19E0">
              <w:rPr>
                <w:webHidden/>
              </w:rPr>
              <w:tab/>
            </w:r>
            <w:r>
              <w:rPr>
                <w:webHidden/>
              </w:rPr>
              <w:fldChar w:fldCharType="begin"/>
            </w:r>
            <w:r w:rsidR="002F19E0">
              <w:rPr>
                <w:webHidden/>
              </w:rPr>
              <w:instrText xml:space="preserve"> PAGEREF _Toc382658230 \h </w:instrText>
            </w:r>
            <w:r>
              <w:rPr>
                <w:webHidden/>
              </w:rPr>
            </w:r>
            <w:r>
              <w:rPr>
                <w:webHidden/>
              </w:rPr>
              <w:fldChar w:fldCharType="separate"/>
            </w:r>
            <w:r w:rsidR="002F19E0">
              <w:rPr>
                <w:webHidden/>
              </w:rPr>
              <w:t>16</w:t>
            </w:r>
            <w:r>
              <w:rPr>
                <w:webHidden/>
              </w:rPr>
              <w:fldChar w:fldCharType="end"/>
            </w:r>
          </w:hyperlink>
        </w:p>
        <w:p w:rsidR="002F19E0" w:rsidRDefault="00283E70">
          <w:pPr>
            <w:pStyle w:val="TOC2"/>
            <w:rPr>
              <w:rFonts w:asciiTheme="minorHAnsi" w:hAnsiTheme="minorHAnsi" w:cstheme="minorBidi"/>
              <w:sz w:val="22"/>
              <w:szCs w:val="22"/>
              <w:lang w:val="en-US" w:eastAsia="en-US"/>
            </w:rPr>
          </w:pPr>
          <w:hyperlink w:anchor="_Toc382658231" w:history="1">
            <w:r w:rsidR="002F19E0" w:rsidRPr="00A425A5">
              <w:rPr>
                <w:rStyle w:val="Hyperlink"/>
              </w:rPr>
              <w:t>6.2</w:t>
            </w:r>
            <w:r w:rsidR="002F19E0">
              <w:rPr>
                <w:rFonts w:asciiTheme="minorHAnsi" w:hAnsiTheme="minorHAnsi" w:cstheme="minorBidi"/>
                <w:sz w:val="22"/>
                <w:szCs w:val="22"/>
                <w:lang w:val="en-US" w:eastAsia="en-US"/>
              </w:rPr>
              <w:tab/>
            </w:r>
            <w:r w:rsidR="002F19E0" w:rsidRPr="00A425A5">
              <w:rPr>
                <w:rStyle w:val="Hyperlink"/>
              </w:rPr>
              <w:t>Roles and Responsibilities</w:t>
            </w:r>
            <w:r w:rsidR="002F19E0">
              <w:rPr>
                <w:webHidden/>
              </w:rPr>
              <w:tab/>
            </w:r>
            <w:r>
              <w:rPr>
                <w:webHidden/>
              </w:rPr>
              <w:fldChar w:fldCharType="begin"/>
            </w:r>
            <w:r w:rsidR="002F19E0">
              <w:rPr>
                <w:webHidden/>
              </w:rPr>
              <w:instrText xml:space="preserve"> PAGEREF _Toc382658231 \h </w:instrText>
            </w:r>
            <w:r>
              <w:rPr>
                <w:webHidden/>
              </w:rPr>
            </w:r>
            <w:r>
              <w:rPr>
                <w:webHidden/>
              </w:rPr>
              <w:fldChar w:fldCharType="separate"/>
            </w:r>
            <w:r w:rsidR="002F19E0">
              <w:rPr>
                <w:webHidden/>
              </w:rPr>
              <w:t>16</w:t>
            </w:r>
            <w:r>
              <w:rPr>
                <w:webHidden/>
              </w:rPr>
              <w:fldChar w:fldCharType="end"/>
            </w:r>
          </w:hyperlink>
        </w:p>
        <w:p w:rsidR="002F19E0" w:rsidRDefault="00283E70">
          <w:pPr>
            <w:pStyle w:val="TOC2"/>
            <w:rPr>
              <w:rFonts w:asciiTheme="minorHAnsi" w:hAnsiTheme="minorHAnsi" w:cstheme="minorBidi"/>
              <w:sz w:val="22"/>
              <w:szCs w:val="22"/>
              <w:lang w:val="en-US" w:eastAsia="en-US"/>
            </w:rPr>
          </w:pPr>
          <w:hyperlink w:anchor="_Toc382658232" w:history="1">
            <w:r w:rsidR="002F19E0" w:rsidRPr="00A425A5">
              <w:rPr>
                <w:rStyle w:val="Hyperlink"/>
              </w:rPr>
              <w:t>6.3</w:t>
            </w:r>
            <w:r w:rsidR="002F19E0">
              <w:rPr>
                <w:rFonts w:asciiTheme="minorHAnsi" w:hAnsiTheme="minorHAnsi" w:cstheme="minorBidi"/>
                <w:sz w:val="22"/>
                <w:szCs w:val="22"/>
                <w:lang w:val="en-US" w:eastAsia="en-US"/>
              </w:rPr>
              <w:tab/>
            </w:r>
            <w:r w:rsidR="002F19E0" w:rsidRPr="00A425A5">
              <w:rPr>
                <w:rStyle w:val="Hyperlink"/>
              </w:rPr>
              <w:t>Duties of Owner’s Engineer</w:t>
            </w:r>
            <w:r w:rsidR="002F19E0">
              <w:rPr>
                <w:webHidden/>
              </w:rPr>
              <w:tab/>
            </w:r>
            <w:r>
              <w:rPr>
                <w:webHidden/>
              </w:rPr>
              <w:fldChar w:fldCharType="begin"/>
            </w:r>
            <w:r w:rsidR="002F19E0">
              <w:rPr>
                <w:webHidden/>
              </w:rPr>
              <w:instrText xml:space="preserve"> PAGEREF _Toc382658232 \h </w:instrText>
            </w:r>
            <w:r>
              <w:rPr>
                <w:webHidden/>
              </w:rPr>
            </w:r>
            <w:r>
              <w:rPr>
                <w:webHidden/>
              </w:rPr>
              <w:fldChar w:fldCharType="separate"/>
            </w:r>
            <w:r w:rsidR="002F19E0">
              <w:rPr>
                <w:webHidden/>
              </w:rPr>
              <w:t>17</w:t>
            </w:r>
            <w:r>
              <w:rPr>
                <w:webHidden/>
              </w:rPr>
              <w:fldChar w:fldCharType="end"/>
            </w:r>
          </w:hyperlink>
        </w:p>
        <w:p w:rsidR="002F19E0" w:rsidRDefault="00283E70">
          <w:pPr>
            <w:pStyle w:val="TOC2"/>
            <w:rPr>
              <w:rFonts w:asciiTheme="minorHAnsi" w:hAnsiTheme="minorHAnsi" w:cstheme="minorBidi"/>
              <w:sz w:val="22"/>
              <w:szCs w:val="22"/>
              <w:lang w:val="en-US" w:eastAsia="en-US"/>
            </w:rPr>
          </w:pPr>
          <w:hyperlink w:anchor="_Toc382658233" w:history="1">
            <w:r w:rsidR="002F19E0" w:rsidRPr="00A425A5">
              <w:rPr>
                <w:rStyle w:val="Hyperlink"/>
              </w:rPr>
              <w:t>6.4</w:t>
            </w:r>
            <w:r w:rsidR="002F19E0">
              <w:rPr>
                <w:rFonts w:asciiTheme="minorHAnsi" w:hAnsiTheme="minorHAnsi" w:cstheme="minorBidi"/>
                <w:sz w:val="22"/>
                <w:szCs w:val="22"/>
                <w:lang w:val="en-US" w:eastAsia="en-US"/>
              </w:rPr>
              <w:tab/>
            </w:r>
            <w:r w:rsidR="002F19E0" w:rsidRPr="00A425A5">
              <w:rPr>
                <w:rStyle w:val="Hyperlink"/>
              </w:rPr>
              <w:t>Contracting Alternatives</w:t>
            </w:r>
            <w:r w:rsidR="002F19E0">
              <w:rPr>
                <w:webHidden/>
              </w:rPr>
              <w:tab/>
            </w:r>
            <w:r>
              <w:rPr>
                <w:webHidden/>
              </w:rPr>
              <w:fldChar w:fldCharType="begin"/>
            </w:r>
            <w:r w:rsidR="002F19E0">
              <w:rPr>
                <w:webHidden/>
              </w:rPr>
              <w:instrText xml:space="preserve"> PAGEREF _Toc382658233 \h </w:instrText>
            </w:r>
            <w:r>
              <w:rPr>
                <w:webHidden/>
              </w:rPr>
            </w:r>
            <w:r>
              <w:rPr>
                <w:webHidden/>
              </w:rPr>
              <w:fldChar w:fldCharType="separate"/>
            </w:r>
            <w:r w:rsidR="002F19E0">
              <w:rPr>
                <w:webHidden/>
              </w:rPr>
              <w:t>18</w:t>
            </w:r>
            <w:r>
              <w:rPr>
                <w:webHidden/>
              </w:rPr>
              <w:fldChar w:fldCharType="end"/>
            </w:r>
          </w:hyperlink>
        </w:p>
        <w:p w:rsidR="002F19E0" w:rsidRDefault="00283E70">
          <w:pPr>
            <w:pStyle w:val="TOC2"/>
            <w:rPr>
              <w:rFonts w:asciiTheme="minorHAnsi" w:hAnsiTheme="minorHAnsi" w:cstheme="minorBidi"/>
              <w:sz w:val="22"/>
              <w:szCs w:val="22"/>
              <w:lang w:val="en-US" w:eastAsia="en-US"/>
            </w:rPr>
          </w:pPr>
          <w:hyperlink w:anchor="_Toc382658234" w:history="1">
            <w:r w:rsidR="002F19E0" w:rsidRPr="00A425A5">
              <w:rPr>
                <w:rStyle w:val="Hyperlink"/>
              </w:rPr>
              <w:t>6.5</w:t>
            </w:r>
            <w:r w:rsidR="002F19E0">
              <w:rPr>
                <w:rFonts w:asciiTheme="minorHAnsi" w:hAnsiTheme="minorHAnsi" w:cstheme="minorBidi"/>
                <w:sz w:val="22"/>
                <w:szCs w:val="22"/>
                <w:lang w:val="en-US" w:eastAsia="en-US"/>
              </w:rPr>
              <w:tab/>
            </w:r>
            <w:r w:rsidR="002F19E0" w:rsidRPr="00A425A5">
              <w:rPr>
                <w:rStyle w:val="Hyperlink"/>
              </w:rPr>
              <w:t>Banking and Payments</w:t>
            </w:r>
            <w:r w:rsidR="002F19E0">
              <w:rPr>
                <w:webHidden/>
              </w:rPr>
              <w:tab/>
            </w:r>
            <w:r>
              <w:rPr>
                <w:webHidden/>
              </w:rPr>
              <w:fldChar w:fldCharType="begin"/>
            </w:r>
            <w:r w:rsidR="002F19E0">
              <w:rPr>
                <w:webHidden/>
              </w:rPr>
              <w:instrText xml:space="preserve"> PAGEREF _Toc382658234 \h </w:instrText>
            </w:r>
            <w:r>
              <w:rPr>
                <w:webHidden/>
              </w:rPr>
            </w:r>
            <w:r>
              <w:rPr>
                <w:webHidden/>
              </w:rPr>
              <w:fldChar w:fldCharType="separate"/>
            </w:r>
            <w:r w:rsidR="002F19E0">
              <w:rPr>
                <w:webHidden/>
              </w:rPr>
              <w:t>18</w:t>
            </w:r>
            <w:r>
              <w:rPr>
                <w:webHidden/>
              </w:rPr>
              <w:fldChar w:fldCharType="end"/>
            </w:r>
          </w:hyperlink>
        </w:p>
        <w:p w:rsidR="002F19E0" w:rsidRDefault="00283E70">
          <w:pPr>
            <w:pStyle w:val="TOC2"/>
            <w:rPr>
              <w:rFonts w:asciiTheme="minorHAnsi" w:hAnsiTheme="minorHAnsi" w:cstheme="minorBidi"/>
              <w:sz w:val="22"/>
              <w:szCs w:val="22"/>
              <w:lang w:val="en-US" w:eastAsia="en-US"/>
            </w:rPr>
          </w:pPr>
          <w:hyperlink w:anchor="_Toc382658235" w:history="1">
            <w:r w:rsidR="002F19E0" w:rsidRPr="00A425A5">
              <w:rPr>
                <w:rStyle w:val="Hyperlink"/>
              </w:rPr>
              <w:t>6.6</w:t>
            </w:r>
            <w:r w:rsidR="002F19E0">
              <w:rPr>
                <w:rFonts w:asciiTheme="minorHAnsi" w:hAnsiTheme="minorHAnsi" w:cstheme="minorBidi"/>
                <w:sz w:val="22"/>
                <w:szCs w:val="22"/>
                <w:lang w:val="en-US" w:eastAsia="en-US"/>
              </w:rPr>
              <w:tab/>
            </w:r>
            <w:r w:rsidR="002F19E0" w:rsidRPr="00A425A5">
              <w:rPr>
                <w:rStyle w:val="Hyperlink"/>
              </w:rPr>
              <w:t>Matching Investors to Investment Funds</w:t>
            </w:r>
            <w:r w:rsidR="002F19E0">
              <w:rPr>
                <w:webHidden/>
              </w:rPr>
              <w:tab/>
            </w:r>
            <w:r>
              <w:rPr>
                <w:webHidden/>
              </w:rPr>
              <w:fldChar w:fldCharType="begin"/>
            </w:r>
            <w:r w:rsidR="002F19E0">
              <w:rPr>
                <w:webHidden/>
              </w:rPr>
              <w:instrText xml:space="preserve"> PAGEREF _Toc382658235 \h </w:instrText>
            </w:r>
            <w:r>
              <w:rPr>
                <w:webHidden/>
              </w:rPr>
            </w:r>
            <w:r>
              <w:rPr>
                <w:webHidden/>
              </w:rPr>
              <w:fldChar w:fldCharType="separate"/>
            </w:r>
            <w:r w:rsidR="002F19E0">
              <w:rPr>
                <w:webHidden/>
              </w:rPr>
              <w:t>18</w:t>
            </w:r>
            <w:r>
              <w:rPr>
                <w:webHidden/>
              </w:rPr>
              <w:fldChar w:fldCharType="end"/>
            </w:r>
          </w:hyperlink>
        </w:p>
        <w:p w:rsidR="002F19E0" w:rsidRDefault="00283E70">
          <w:pPr>
            <w:pStyle w:val="TOC1"/>
            <w:rPr>
              <w:rFonts w:asciiTheme="minorHAnsi" w:hAnsiTheme="minorHAnsi" w:cstheme="minorBidi"/>
              <w:sz w:val="22"/>
              <w:szCs w:val="22"/>
              <w:lang w:val="en-US" w:eastAsia="en-US"/>
            </w:rPr>
          </w:pPr>
          <w:hyperlink w:anchor="_Toc382658236" w:history="1">
            <w:r w:rsidR="002F19E0" w:rsidRPr="00A425A5">
              <w:rPr>
                <w:rStyle w:val="Hyperlink"/>
              </w:rPr>
              <w:t>7</w:t>
            </w:r>
            <w:r w:rsidR="002F19E0">
              <w:rPr>
                <w:rFonts w:asciiTheme="minorHAnsi" w:hAnsiTheme="minorHAnsi" w:cstheme="minorBidi"/>
                <w:sz w:val="22"/>
                <w:szCs w:val="22"/>
                <w:lang w:val="en-US" w:eastAsia="en-US"/>
              </w:rPr>
              <w:tab/>
            </w:r>
            <w:r w:rsidR="002F19E0" w:rsidRPr="00A425A5">
              <w:rPr>
                <w:rStyle w:val="Hyperlink"/>
              </w:rPr>
              <w:t>Economic and Financial Assessments of Projects</w:t>
            </w:r>
            <w:r w:rsidR="002F19E0">
              <w:rPr>
                <w:webHidden/>
              </w:rPr>
              <w:tab/>
            </w:r>
            <w:r>
              <w:rPr>
                <w:webHidden/>
              </w:rPr>
              <w:fldChar w:fldCharType="begin"/>
            </w:r>
            <w:r w:rsidR="002F19E0">
              <w:rPr>
                <w:webHidden/>
              </w:rPr>
              <w:instrText xml:space="preserve"> PAGEREF _Toc382658236 \h </w:instrText>
            </w:r>
            <w:r>
              <w:rPr>
                <w:webHidden/>
              </w:rPr>
            </w:r>
            <w:r>
              <w:rPr>
                <w:webHidden/>
              </w:rPr>
              <w:fldChar w:fldCharType="separate"/>
            </w:r>
            <w:r w:rsidR="002F19E0">
              <w:rPr>
                <w:webHidden/>
              </w:rPr>
              <w:t>19</w:t>
            </w:r>
            <w:r>
              <w:rPr>
                <w:webHidden/>
              </w:rPr>
              <w:fldChar w:fldCharType="end"/>
            </w:r>
          </w:hyperlink>
        </w:p>
        <w:p w:rsidR="00442DA4" w:rsidRPr="00205F76" w:rsidRDefault="00283E70" w:rsidP="00215216">
          <w:r>
            <w:fldChar w:fldCharType="end"/>
          </w:r>
        </w:p>
      </w:sdtContent>
    </w:sdt>
    <w:p w:rsidR="00E76148" w:rsidRDefault="00245C06" w:rsidP="00245C06">
      <w:pPr>
        <w:pStyle w:val="TOCHeading"/>
      </w:pPr>
      <w:r w:rsidRPr="00245C06">
        <w:t>Annexe</w:t>
      </w:r>
      <w:r>
        <w:t>s</w:t>
      </w:r>
    </w:p>
    <w:p w:rsidR="002F19E0" w:rsidRDefault="00283E70">
      <w:pPr>
        <w:pStyle w:val="TOC1"/>
        <w:rPr>
          <w:rFonts w:asciiTheme="minorHAnsi" w:hAnsiTheme="minorHAnsi" w:cstheme="minorBidi"/>
          <w:sz w:val="22"/>
          <w:szCs w:val="22"/>
          <w:lang w:val="en-US" w:eastAsia="en-US"/>
        </w:rPr>
      </w:pPr>
      <w:r>
        <w:fldChar w:fldCharType="begin"/>
      </w:r>
      <w:r w:rsidR="00245C06">
        <w:instrText xml:space="preserve"> TOC \n \h \z \u \t "Heading 4,1" </w:instrText>
      </w:r>
      <w:r>
        <w:fldChar w:fldCharType="separate"/>
      </w:r>
      <w:hyperlink w:anchor="_Toc382658237" w:history="1">
        <w:r w:rsidR="002F19E0" w:rsidRPr="00A21A45">
          <w:rPr>
            <w:rStyle w:val="Hyperlink"/>
          </w:rPr>
          <w:t>Annex 1  Transmission System Development Plan and Capital Funding Requirements</w:t>
        </w:r>
      </w:hyperlink>
    </w:p>
    <w:p w:rsidR="002F19E0" w:rsidRDefault="00283E70">
      <w:pPr>
        <w:pStyle w:val="TOC1"/>
        <w:rPr>
          <w:rFonts w:asciiTheme="minorHAnsi" w:hAnsiTheme="minorHAnsi" w:cstheme="minorBidi"/>
          <w:sz w:val="22"/>
          <w:szCs w:val="22"/>
          <w:lang w:val="en-US" w:eastAsia="en-US"/>
        </w:rPr>
      </w:pPr>
      <w:hyperlink w:anchor="_Toc382658238" w:history="1">
        <w:r w:rsidR="002F19E0" w:rsidRPr="00A21A45">
          <w:rPr>
            <w:rStyle w:val="Hyperlink"/>
          </w:rPr>
          <w:t>Annex 2  Economic Benefit Assessment of Financing Package 2 Projects</w:t>
        </w:r>
      </w:hyperlink>
    </w:p>
    <w:p w:rsidR="002F19E0" w:rsidRDefault="00283E70">
      <w:pPr>
        <w:pStyle w:val="TOC1"/>
        <w:rPr>
          <w:rFonts w:asciiTheme="minorHAnsi" w:hAnsiTheme="minorHAnsi" w:cstheme="minorBidi"/>
          <w:sz w:val="22"/>
          <w:szCs w:val="22"/>
          <w:lang w:val="en-US" w:eastAsia="en-US"/>
        </w:rPr>
      </w:pPr>
      <w:hyperlink w:anchor="_Toc382658239" w:history="1">
        <w:r w:rsidR="002F19E0" w:rsidRPr="00A21A45">
          <w:rPr>
            <w:rStyle w:val="Hyperlink"/>
          </w:rPr>
          <w:t>Annex 3  Financial Analysis of Financing Package 2 Projects</w:t>
        </w:r>
      </w:hyperlink>
    </w:p>
    <w:p w:rsidR="002F19E0" w:rsidRDefault="00283E70">
      <w:pPr>
        <w:pStyle w:val="TOC1"/>
        <w:rPr>
          <w:rFonts w:asciiTheme="minorHAnsi" w:hAnsiTheme="minorHAnsi" w:cstheme="minorBidi"/>
          <w:sz w:val="22"/>
          <w:szCs w:val="22"/>
          <w:lang w:val="en-US" w:eastAsia="en-US"/>
        </w:rPr>
      </w:pPr>
      <w:hyperlink w:anchor="_Toc382658240" w:history="1">
        <w:r w:rsidR="002F19E0" w:rsidRPr="00A21A45">
          <w:rPr>
            <w:rStyle w:val="Hyperlink"/>
          </w:rPr>
          <w:t>Annex 4  Financial Assessment of TCN</w:t>
        </w:r>
      </w:hyperlink>
    </w:p>
    <w:p w:rsidR="002F19E0" w:rsidRDefault="00283E70">
      <w:pPr>
        <w:pStyle w:val="TOC1"/>
        <w:rPr>
          <w:rFonts w:asciiTheme="minorHAnsi" w:hAnsiTheme="minorHAnsi" w:cstheme="minorBidi"/>
          <w:sz w:val="22"/>
          <w:szCs w:val="22"/>
          <w:lang w:val="en-US" w:eastAsia="en-US"/>
        </w:rPr>
      </w:pPr>
      <w:hyperlink w:anchor="_Toc382658241" w:history="1">
        <w:r w:rsidR="002F19E0" w:rsidRPr="00A21A45">
          <w:rPr>
            <w:rStyle w:val="Hyperlink"/>
          </w:rPr>
          <w:t>Annex 5  Guidelines for Competitive Procurement and Contracting</w:t>
        </w:r>
      </w:hyperlink>
    </w:p>
    <w:p w:rsidR="00245C06" w:rsidRDefault="00283E70" w:rsidP="00215216">
      <w:pPr>
        <w:sectPr w:rsidR="00245C06" w:rsidSect="002F19E0">
          <w:footerReference w:type="default" r:id="rId8"/>
          <w:pgSz w:w="11907" w:h="16839" w:code="9"/>
          <w:pgMar w:top="1440" w:right="1440" w:bottom="1440" w:left="1440" w:header="720" w:footer="720" w:gutter="0"/>
          <w:pgNumType w:fmt="lowerRoman"/>
          <w:cols w:space="720"/>
          <w:docGrid w:linePitch="360"/>
        </w:sectPr>
      </w:pPr>
      <w:r>
        <w:fldChar w:fldCharType="end"/>
      </w:r>
    </w:p>
    <w:p w:rsidR="00010861" w:rsidRPr="00C31506" w:rsidRDefault="00010861" w:rsidP="00010861">
      <w:pPr>
        <w:jc w:val="center"/>
        <w:rPr>
          <w:b/>
          <w:sz w:val="40"/>
          <w:szCs w:val="40"/>
        </w:rPr>
      </w:pPr>
      <w:bookmarkStart w:id="0" w:name="_GoBack"/>
      <w:bookmarkEnd w:id="0"/>
      <w:r>
        <w:rPr>
          <w:b/>
          <w:sz w:val="40"/>
          <w:szCs w:val="40"/>
        </w:rPr>
        <w:lastRenderedPageBreak/>
        <w:t>Appraisal of TCN Project Financing Packages</w:t>
      </w:r>
    </w:p>
    <w:p w:rsidR="00196C7F" w:rsidRPr="00987314" w:rsidRDefault="00987314" w:rsidP="00215216">
      <w:pPr>
        <w:pStyle w:val="Heading1"/>
      </w:pPr>
      <w:bookmarkStart w:id="1" w:name="_Toc382658217"/>
      <w:r w:rsidRPr="00987314">
        <w:t>Purpose of this Investment Appraisal</w:t>
      </w:r>
      <w:bookmarkEnd w:id="1"/>
    </w:p>
    <w:p w:rsidR="001C0659" w:rsidRDefault="00987314" w:rsidP="00215216">
      <w:r w:rsidRPr="00D30990">
        <w:t xml:space="preserve">The purpose of this investment appraisal </w:t>
      </w:r>
      <w:r w:rsidR="001C0659" w:rsidRPr="00D30990">
        <w:t>package</w:t>
      </w:r>
      <w:r w:rsidRPr="00D30990">
        <w:t xml:space="preserve"> is to </w:t>
      </w:r>
      <w:r w:rsidR="00CE27C0" w:rsidRPr="00D30990">
        <w:t>request expressions of interest from</w:t>
      </w:r>
      <w:r w:rsidR="00CE27C0">
        <w:t xml:space="preserve"> investors who want to participate in TCN’s transmission expansion program by providing capital funding in the form or loans or equity investment.  This </w:t>
      </w:r>
      <w:r w:rsidR="00D30990">
        <w:t>appraisal p</w:t>
      </w:r>
      <w:r w:rsidR="00CE27C0">
        <w:t xml:space="preserve">ackage </w:t>
      </w:r>
      <w:r w:rsidR="00D30990">
        <w:t>provides</w:t>
      </w:r>
      <w:r>
        <w:t xml:space="preserve"> </w:t>
      </w:r>
      <w:r w:rsidR="001C0659">
        <w:t xml:space="preserve">the following </w:t>
      </w:r>
      <w:r>
        <w:t xml:space="preserve">information </w:t>
      </w:r>
      <w:r w:rsidR="001C0659">
        <w:t>about</w:t>
      </w:r>
      <w:r>
        <w:t xml:space="preserve"> TCN’s </w:t>
      </w:r>
      <w:r w:rsidR="00D30990">
        <w:t>requirements</w:t>
      </w:r>
      <w:r w:rsidR="001C0659">
        <w:t>:</w:t>
      </w:r>
    </w:p>
    <w:p w:rsidR="00F93254" w:rsidRDefault="00355BAC" w:rsidP="001D0E30">
      <w:pPr>
        <w:pStyle w:val="bullet"/>
      </w:pPr>
      <w:r>
        <w:t xml:space="preserve">This </w:t>
      </w:r>
      <w:r w:rsidR="00F93254" w:rsidRPr="00D30990">
        <w:rPr>
          <w:b/>
        </w:rPr>
        <w:t xml:space="preserve">Executive Summary </w:t>
      </w:r>
      <w:r>
        <w:t>provides the context for th</w:t>
      </w:r>
      <w:r w:rsidR="00010861">
        <w:t>e</w:t>
      </w:r>
      <w:r>
        <w:t xml:space="preserve"> request for funding, and summarizes the opportunities for investment.</w:t>
      </w:r>
    </w:p>
    <w:p w:rsidR="001C0659" w:rsidRDefault="00F93254" w:rsidP="001D0E30">
      <w:pPr>
        <w:pStyle w:val="bullet"/>
      </w:pPr>
      <w:r w:rsidRPr="00D30990">
        <w:rPr>
          <w:b/>
        </w:rPr>
        <w:t xml:space="preserve">Annex 1 </w:t>
      </w:r>
      <w:r>
        <w:t xml:space="preserve">provides </w:t>
      </w:r>
      <w:r w:rsidR="001C0659">
        <w:t>d</w:t>
      </w:r>
      <w:r w:rsidR="00987314">
        <w:t xml:space="preserve">escriptions </w:t>
      </w:r>
      <w:r w:rsidR="006C7309">
        <w:t xml:space="preserve">and schedules for </w:t>
      </w:r>
      <w:r w:rsidR="00987314">
        <w:t>projects</w:t>
      </w:r>
      <w:r w:rsidR="006C7309">
        <w:t xml:space="preserve"> </w:t>
      </w:r>
      <w:r w:rsidR="00355BAC">
        <w:t>that are currently</w:t>
      </w:r>
      <w:r w:rsidR="006C7309">
        <w:t xml:space="preserve"> underway and in the planning stages</w:t>
      </w:r>
      <w:r>
        <w:t xml:space="preserve">, and shows the </w:t>
      </w:r>
      <w:r w:rsidR="001C0659">
        <w:t xml:space="preserve">funding requirements </w:t>
      </w:r>
      <w:r>
        <w:t>both at the individual project</w:t>
      </w:r>
      <w:r w:rsidR="00355BAC">
        <w:t xml:space="preserve"> level and by project groupings.</w:t>
      </w:r>
    </w:p>
    <w:p w:rsidR="001C0659" w:rsidRDefault="00F93254" w:rsidP="001D0E30">
      <w:pPr>
        <w:pStyle w:val="bullet"/>
      </w:pPr>
      <w:r w:rsidRPr="00D30990">
        <w:rPr>
          <w:b/>
        </w:rPr>
        <w:t>Annex 2</w:t>
      </w:r>
      <w:r>
        <w:t xml:space="preserve"> provides </w:t>
      </w:r>
      <w:r w:rsidR="008378DF">
        <w:t xml:space="preserve">an </w:t>
      </w:r>
      <w:r w:rsidR="001C0659">
        <w:t>e</w:t>
      </w:r>
      <w:r w:rsidR="008378DF">
        <w:t>conomic assessment</w:t>
      </w:r>
      <w:r w:rsidR="00987314">
        <w:t xml:space="preserve"> of </w:t>
      </w:r>
      <w:r w:rsidR="006C7309">
        <w:t xml:space="preserve">new </w:t>
      </w:r>
      <w:r w:rsidR="00355BAC">
        <w:t xml:space="preserve">projects </w:t>
      </w:r>
      <w:r w:rsidR="008378DF">
        <w:t xml:space="preserve">currently </w:t>
      </w:r>
      <w:r w:rsidR="00355BAC">
        <w:t xml:space="preserve">in the </w:t>
      </w:r>
      <w:r w:rsidR="008378DF">
        <w:t>planning stages</w:t>
      </w:r>
      <w:r w:rsidR="00355BAC">
        <w:t>.</w:t>
      </w:r>
    </w:p>
    <w:p w:rsidR="001C0659" w:rsidRDefault="00F93254" w:rsidP="001D0E30">
      <w:pPr>
        <w:pStyle w:val="bullet"/>
      </w:pPr>
      <w:r w:rsidRPr="00D30990">
        <w:rPr>
          <w:b/>
        </w:rPr>
        <w:t xml:space="preserve">Annex </w:t>
      </w:r>
      <w:r w:rsidR="00355BAC" w:rsidRPr="00D30990">
        <w:rPr>
          <w:b/>
        </w:rPr>
        <w:t>3</w:t>
      </w:r>
      <w:r w:rsidR="00355BAC">
        <w:t xml:space="preserve"> </w:t>
      </w:r>
      <w:r w:rsidR="008378DF">
        <w:t>provides a financial assessment of the new projects.</w:t>
      </w:r>
    </w:p>
    <w:p w:rsidR="0072275E" w:rsidRDefault="0072275E" w:rsidP="001D0E30">
      <w:pPr>
        <w:pStyle w:val="bullet"/>
      </w:pPr>
      <w:r>
        <w:rPr>
          <w:b/>
        </w:rPr>
        <w:t xml:space="preserve">Annex 4 </w:t>
      </w:r>
      <w:r w:rsidRPr="008378DF">
        <w:t xml:space="preserve">provides a financial assessment of TCN covering the </w:t>
      </w:r>
      <w:r w:rsidR="008378DF" w:rsidRPr="008378DF">
        <w:t xml:space="preserve">recent past performance </w:t>
      </w:r>
      <w:r w:rsidR="008378DF">
        <w:t xml:space="preserve">for </w:t>
      </w:r>
      <w:r w:rsidR="008378DF" w:rsidRPr="008378DF">
        <w:t>2011</w:t>
      </w:r>
      <w:r w:rsidR="008378DF">
        <w:t>-</w:t>
      </w:r>
      <w:r w:rsidR="008378DF" w:rsidRPr="008378DF">
        <w:t>2013</w:t>
      </w:r>
      <w:r w:rsidR="008378DF">
        <w:t>, and the projected performance</w:t>
      </w:r>
      <w:r w:rsidR="008378DF" w:rsidRPr="008378DF">
        <w:t xml:space="preserve"> for 2014-15.</w:t>
      </w:r>
    </w:p>
    <w:p w:rsidR="001C0659" w:rsidRPr="00D30990" w:rsidRDefault="00355BAC" w:rsidP="001D0E30">
      <w:pPr>
        <w:pStyle w:val="outofbullet2"/>
      </w:pPr>
      <w:r w:rsidRPr="00D30990">
        <w:rPr>
          <w:b/>
        </w:rPr>
        <w:t xml:space="preserve">Annex </w:t>
      </w:r>
      <w:r w:rsidR="008378DF">
        <w:rPr>
          <w:b/>
        </w:rPr>
        <w:t>5</w:t>
      </w:r>
      <w:r w:rsidRPr="00D30990">
        <w:t xml:space="preserve"> </w:t>
      </w:r>
      <w:r w:rsidR="0072275E">
        <w:t>shows the guidelines to be used for competitive procurement and contracting</w:t>
      </w:r>
      <w:r w:rsidRPr="00D30990">
        <w:t>.</w:t>
      </w:r>
    </w:p>
    <w:p w:rsidR="006C7309" w:rsidRDefault="006C7309" w:rsidP="00215216">
      <w:r>
        <w:t>The target audience for this investment package includes FGN, state and local governments, sovereign funds, development banks</w:t>
      </w:r>
      <w:r w:rsidR="008378DF">
        <w:t>, contractors, developers</w:t>
      </w:r>
      <w:r>
        <w:t xml:space="preserve"> and others potential sources of capital funding.</w:t>
      </w:r>
      <w:r w:rsidR="001C0659">
        <w:t xml:space="preserve">  </w:t>
      </w:r>
      <w:r w:rsidR="00010861">
        <w:t>I</w:t>
      </w:r>
      <w:r w:rsidR="00987314">
        <w:t xml:space="preserve">nvestors can use this appraisal document </w:t>
      </w:r>
      <w:r w:rsidR="008378DF">
        <w:t xml:space="preserve">to </w:t>
      </w:r>
      <w:r w:rsidR="001C0659">
        <w:t>g</w:t>
      </w:r>
      <w:r w:rsidR="00987314">
        <w:t>ain a better understanding of TCN’s</w:t>
      </w:r>
      <w:r>
        <w:t xml:space="preserve"> transmission expansion</w:t>
      </w:r>
      <w:r w:rsidR="00987314">
        <w:t xml:space="preserve"> plans</w:t>
      </w:r>
      <w:r w:rsidR="00CE27C0">
        <w:t xml:space="preserve"> and</w:t>
      </w:r>
      <w:r>
        <w:t xml:space="preserve"> the size and timing of the company’s</w:t>
      </w:r>
      <w:r w:rsidR="00987314">
        <w:t xml:space="preserve"> capital</w:t>
      </w:r>
      <w:r>
        <w:t xml:space="preserve"> funding requirements</w:t>
      </w:r>
      <w:r w:rsidR="008378DF">
        <w:t xml:space="preserve">, </w:t>
      </w:r>
      <w:r w:rsidR="001C0659">
        <w:t>and</w:t>
      </w:r>
      <w:r w:rsidR="008378DF">
        <w:t xml:space="preserve"> to </w:t>
      </w:r>
      <w:r w:rsidR="001C0659">
        <w:t>i</w:t>
      </w:r>
      <w:r>
        <w:t xml:space="preserve">dentify projects and sets of projects that </w:t>
      </w:r>
      <w:r w:rsidR="00355BAC">
        <w:t>provide</w:t>
      </w:r>
      <w:r>
        <w:t xml:space="preserve"> t</w:t>
      </w:r>
      <w:r w:rsidR="00355BAC">
        <w:t>he best fit for</w:t>
      </w:r>
      <w:r>
        <w:t xml:space="preserve"> the investor’s particular </w:t>
      </w:r>
      <w:r w:rsidR="00355BAC">
        <w:t xml:space="preserve">funding </w:t>
      </w:r>
      <w:r>
        <w:t>preferences and requirements.</w:t>
      </w:r>
    </w:p>
    <w:p w:rsidR="001C0659" w:rsidRDefault="006C7309" w:rsidP="00215216">
      <w:r>
        <w:t xml:space="preserve">TCN is now actively inviting expressions of interest from interested investors.  If </w:t>
      </w:r>
      <w:r w:rsidR="008378DF">
        <w:t>you want</w:t>
      </w:r>
      <w:r>
        <w:t xml:space="preserve"> to participate in this opportunity, you are encouraged to contact</w:t>
      </w:r>
      <w:r w:rsidR="00505782">
        <w:t xml:space="preserve"> </w:t>
      </w:r>
      <w:r>
        <w:t xml:space="preserve">Mr. </w:t>
      </w:r>
      <w:proofErr w:type="spellStart"/>
      <w:r>
        <w:t>Shahid</w:t>
      </w:r>
      <w:proofErr w:type="spellEnd"/>
      <w:r w:rsidR="00987314">
        <w:t xml:space="preserve"> </w:t>
      </w:r>
      <w:proofErr w:type="spellStart"/>
      <w:r w:rsidR="001C0659">
        <w:t>Moham</w:t>
      </w:r>
      <w:r w:rsidR="00CC0088">
        <w:t>a</w:t>
      </w:r>
      <w:r w:rsidR="001C0659">
        <w:t>d</w:t>
      </w:r>
      <w:proofErr w:type="spellEnd"/>
      <w:r w:rsidR="008378DF">
        <w:t>, TCN Executive Director, Transmission Services Provider,</w:t>
      </w:r>
      <w:r w:rsidR="00505782">
        <w:t xml:space="preserve"> at email </w:t>
      </w:r>
      <w:hyperlink r:id="rId9" w:history="1">
        <w:r w:rsidR="00CC0088" w:rsidRPr="00737E69">
          <w:rPr>
            <w:rStyle w:val="Hyperlink"/>
          </w:rPr>
          <w:t>smohammad@mhi.mb.ca</w:t>
        </w:r>
      </w:hyperlink>
      <w:r w:rsidR="00CC0088">
        <w:t xml:space="preserve"> or phone </w:t>
      </w:r>
      <w:r w:rsidR="008378DF">
        <w:t>(</w:t>
      </w:r>
      <w:r w:rsidR="00CC0088">
        <w:t>+234</w:t>
      </w:r>
      <w:r w:rsidR="008378DF">
        <w:t>)</w:t>
      </w:r>
      <w:r w:rsidR="00CC0088">
        <w:t xml:space="preserve"> 812 882 3233.</w:t>
      </w:r>
    </w:p>
    <w:p w:rsidR="001C0659" w:rsidRDefault="001C0659" w:rsidP="00215216">
      <w:pPr>
        <w:pStyle w:val="Heading1"/>
      </w:pPr>
      <w:bookmarkStart w:id="2" w:name="_Toc382658218"/>
      <w:r>
        <w:t>Need for Transmission Refurbishment and Expansion</w:t>
      </w:r>
      <w:bookmarkEnd w:id="2"/>
      <w:r>
        <w:t xml:space="preserve"> </w:t>
      </w:r>
    </w:p>
    <w:p w:rsidR="001C0659" w:rsidRDefault="001C0659" w:rsidP="00215216">
      <w:r w:rsidRPr="001C0659">
        <w:t xml:space="preserve">Nigeria’s transmission system, which consists of 330kV and 132kV high voltage lines, substations, and control facilities is owned and operated by a single government-owned company, Transmission Company of Nigeria (TCN). </w:t>
      </w:r>
      <w:r>
        <w:t xml:space="preserve"> TCN consists of four business units: </w:t>
      </w:r>
      <w:r w:rsidRPr="001C0659">
        <w:t xml:space="preserve">the Transmission Services Provider (constructing, </w:t>
      </w:r>
      <w:r w:rsidRPr="001C0659">
        <w:lastRenderedPageBreak/>
        <w:t>owning, operating and maintaining transmission facilities), System Operator</w:t>
      </w:r>
      <w:r>
        <w:t>,</w:t>
      </w:r>
      <w:r w:rsidRPr="001C0659">
        <w:t xml:space="preserve"> Market Operator</w:t>
      </w:r>
      <w:r>
        <w:t xml:space="preserve"> and </w:t>
      </w:r>
      <w:r w:rsidR="008378DF">
        <w:t xml:space="preserve">TCN </w:t>
      </w:r>
      <w:r>
        <w:t>Headquarters</w:t>
      </w:r>
      <w:r w:rsidRPr="001C0659">
        <w:t xml:space="preserve">. </w:t>
      </w:r>
    </w:p>
    <w:p w:rsidR="00F93254" w:rsidRDefault="00F93254" w:rsidP="00215216">
      <w:r>
        <w:t xml:space="preserve">TCN now faces a pressing need </w:t>
      </w:r>
      <w:r w:rsidR="008378DF">
        <w:t xml:space="preserve">to improve the reliability of the power system and </w:t>
      </w:r>
      <w:r>
        <w:t>expand its capacity to deliver energy from generation to load</w:t>
      </w:r>
      <w:r w:rsidR="00355BAC">
        <w:t>.  TCN’s capital program has been developed to address t</w:t>
      </w:r>
      <w:r>
        <w:t xml:space="preserve">he </w:t>
      </w:r>
      <w:r w:rsidR="00355BAC">
        <w:t xml:space="preserve">following </w:t>
      </w:r>
      <w:r>
        <w:t xml:space="preserve">key drivers </w:t>
      </w:r>
      <w:r w:rsidR="00355BAC">
        <w:t>for transmission improvements</w:t>
      </w:r>
      <w:r>
        <w:t>:</w:t>
      </w:r>
    </w:p>
    <w:p w:rsidR="00F93254" w:rsidRDefault="00D05C43" w:rsidP="001D0E30">
      <w:pPr>
        <w:pStyle w:val="bullet"/>
      </w:pPr>
      <w:r>
        <w:t>The existing system will be able to deliver up to 7 GWs of generation to load with completion of NIPP projects.  However, m</w:t>
      </w:r>
      <w:r w:rsidR="00F93254">
        <w:t>uch of the existing system is old</w:t>
      </w:r>
      <w:r>
        <w:t xml:space="preserve">, </w:t>
      </w:r>
      <w:r w:rsidR="00F93254">
        <w:t>unreliable</w:t>
      </w:r>
      <w:r>
        <w:t xml:space="preserve"> and unstable</w:t>
      </w:r>
      <w:r w:rsidR="00F93254">
        <w:t>, which results in too frequent customer outages at the transmission level.</w:t>
      </w:r>
    </w:p>
    <w:p w:rsidR="00095FD6" w:rsidRDefault="00095FD6" w:rsidP="001D0E30">
      <w:pPr>
        <w:pStyle w:val="bullet"/>
      </w:pPr>
      <w:r>
        <w:t>The system has limited redundancy in its design and experiences an unacceptable number of total system blackouts. These blackouts impact customer, particularly commercial and industrial users, and have the real potential of making Nigeria a less attractive country to start a new business or expand an existing business.</w:t>
      </w:r>
    </w:p>
    <w:p w:rsidR="00095FD6" w:rsidRDefault="00095FD6" w:rsidP="001D0E30">
      <w:pPr>
        <w:pStyle w:val="outofbullet2"/>
      </w:pPr>
      <w:r>
        <w:t>Existing substations and lines are in desperate need of refurbishment, as past funding of TCN’s capital requirements has not kept pace with the need for refurbishment.</w:t>
      </w:r>
    </w:p>
    <w:p w:rsidR="00F93254" w:rsidRDefault="00095FD6" w:rsidP="001D0E30">
      <w:pPr>
        <w:pStyle w:val="bullet"/>
      </w:pPr>
      <w:r w:rsidRPr="00095FD6">
        <w:t xml:space="preserve">NBET’s PPAs with Successor Company </w:t>
      </w:r>
      <w:proofErr w:type="spellStart"/>
      <w:r w:rsidRPr="00095FD6">
        <w:t>GenCos</w:t>
      </w:r>
      <w:proofErr w:type="spellEnd"/>
      <w:r w:rsidRPr="00095FD6">
        <w:t xml:space="preserve"> and new IPPs provide for a large amount of new and refurbished generation projects that will be developed in the coming years with the expectation that TSP will expand its network to wheel the power to the </w:t>
      </w:r>
      <w:proofErr w:type="spellStart"/>
      <w:r w:rsidRPr="00095FD6">
        <w:t>DisCos</w:t>
      </w:r>
      <w:proofErr w:type="spellEnd"/>
      <w:r w:rsidRPr="00095FD6">
        <w:t>.</w:t>
      </w:r>
    </w:p>
    <w:p w:rsidR="008378DF" w:rsidRDefault="00F93254" w:rsidP="001D0E30">
      <w:pPr>
        <w:pStyle w:val="outofbullet2"/>
      </w:pPr>
      <w:r>
        <w:t>The system as-is cannot support the anticipated gro</w:t>
      </w:r>
      <w:r w:rsidR="00010861">
        <w:t>wth in per capita usage and numbers of</w:t>
      </w:r>
      <w:r>
        <w:t xml:space="preserve"> customers in all classes. If the existing system is not expanded it will negatively impact the country’s</w:t>
      </w:r>
      <w:r w:rsidR="008378DF">
        <w:t xml:space="preserve"> potential to increase its GNP.</w:t>
      </w:r>
    </w:p>
    <w:p w:rsidR="00657819" w:rsidRPr="008378DF" w:rsidRDefault="00283E70" w:rsidP="00215216">
      <w:r>
        <w:fldChar w:fldCharType="begin"/>
      </w:r>
      <w:r w:rsidR="007D013B">
        <w:instrText xml:space="preserve"> REF _Ref382555318 \h </w:instrText>
      </w:r>
      <w:r>
        <w:fldChar w:fldCharType="separate"/>
      </w:r>
      <w:r w:rsidR="002F19E0">
        <w:t xml:space="preserve">Figure </w:t>
      </w:r>
      <w:r w:rsidR="002F19E0">
        <w:rPr>
          <w:noProof/>
        </w:rPr>
        <w:t>1</w:t>
      </w:r>
      <w:r>
        <w:fldChar w:fldCharType="end"/>
      </w:r>
      <w:r w:rsidR="00D44858" w:rsidRPr="008378DF">
        <w:t xml:space="preserve"> shows the expected phased expansion of the transmission system </w:t>
      </w:r>
      <w:r w:rsidR="008378DF">
        <w:t>compared to</w:t>
      </w:r>
      <w:r w:rsidR="00D44858" w:rsidRPr="008378DF">
        <w:t xml:space="preserve"> the expected </w:t>
      </w:r>
      <w:r w:rsidR="008E69BD">
        <w:t xml:space="preserve">peak capability of the </w:t>
      </w:r>
      <w:r w:rsidR="00D44858" w:rsidRPr="008378DF">
        <w:t>generation</w:t>
      </w:r>
      <w:r w:rsidR="00D476F9">
        <w:t xml:space="preserve"> connected to the grid</w:t>
      </w:r>
      <w:r w:rsidR="00D44858" w:rsidRPr="008378DF">
        <w:t xml:space="preserve">.  </w:t>
      </w:r>
      <w:r w:rsidR="00657819" w:rsidRPr="008378DF">
        <w:t xml:space="preserve">The primary targets for expanding the </w:t>
      </w:r>
      <w:r w:rsidR="008E69BD">
        <w:t xml:space="preserve">transmission </w:t>
      </w:r>
      <w:r w:rsidR="00657819" w:rsidRPr="008378DF">
        <w:t xml:space="preserve">system are to increase the wheeling capacity of the grid from </w:t>
      </w:r>
      <w:r w:rsidR="00CE27C0" w:rsidRPr="008378DF">
        <w:t xml:space="preserve">about </w:t>
      </w:r>
      <w:r w:rsidR="00657819" w:rsidRPr="008378DF">
        <w:t xml:space="preserve">7 GW </w:t>
      </w:r>
      <w:r w:rsidR="00D05C43">
        <w:t>in 2014</w:t>
      </w:r>
      <w:r w:rsidR="00657819" w:rsidRPr="008378DF">
        <w:t xml:space="preserve"> to 10 GW by </w:t>
      </w:r>
      <w:proofErr w:type="gramStart"/>
      <w:r w:rsidR="00657819" w:rsidRPr="008378DF">
        <w:t>2017,</w:t>
      </w:r>
      <w:proofErr w:type="gramEnd"/>
      <w:r w:rsidR="00657819" w:rsidRPr="008378DF">
        <w:t xml:space="preserve"> and to 20 GW by 2020.  The figure </w:t>
      </w:r>
      <w:r w:rsidR="008E69BD">
        <w:t xml:space="preserve">below </w:t>
      </w:r>
      <w:r w:rsidR="00657819" w:rsidRPr="008378DF">
        <w:t xml:space="preserve">demonstrates that TCN’s transmission expansion program, if implemented on a timely basis, will keep pace with the expected in-service dates for new generation, plus a </w:t>
      </w:r>
      <w:r w:rsidR="00D44858" w:rsidRPr="008378DF">
        <w:t xml:space="preserve">prudent </w:t>
      </w:r>
      <w:r w:rsidR="00657819" w:rsidRPr="008378DF">
        <w:t xml:space="preserve">margin of around 30% in </w:t>
      </w:r>
      <w:r w:rsidR="00D44858" w:rsidRPr="008378DF">
        <w:t xml:space="preserve">extra </w:t>
      </w:r>
      <w:r w:rsidR="00657819" w:rsidRPr="008378DF">
        <w:t xml:space="preserve">wheeling capacity.  </w:t>
      </w:r>
    </w:p>
    <w:p w:rsidR="0090538A" w:rsidRDefault="0090538A" w:rsidP="00215216"/>
    <w:p w:rsidR="00D05C43" w:rsidRPr="005D4384" w:rsidRDefault="00D05C43" w:rsidP="00215216">
      <w:r w:rsidRPr="00D05C43">
        <w:rPr>
          <w:noProof/>
          <w:lang w:val="en-US" w:eastAsia="en-US"/>
        </w:rPr>
        <w:lastRenderedPageBreak/>
        <w:drawing>
          <wp:inline distT="0" distB="0" distL="0" distR="0">
            <wp:extent cx="5943600" cy="28448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05C43" w:rsidRDefault="00D05C43" w:rsidP="00215216">
      <w:pPr>
        <w:pStyle w:val="Caption"/>
      </w:pPr>
      <w:bookmarkStart w:id="3" w:name="_Ref382555318"/>
      <w:r>
        <w:t xml:space="preserve">Figure </w:t>
      </w:r>
      <w:fldSimple w:instr=" SEQ Figure \* ARABIC ">
        <w:r w:rsidR="002F19E0">
          <w:rPr>
            <w:noProof/>
          </w:rPr>
          <w:t>1</w:t>
        </w:r>
      </w:fldSimple>
      <w:bookmarkEnd w:id="3"/>
      <w:r w:rsidRPr="00D05C43">
        <w:t>: Available Generation Compar</w:t>
      </w:r>
      <w:r>
        <w:t>ed to</w:t>
      </w:r>
      <w:r w:rsidRPr="00D05C43">
        <w:t xml:space="preserve"> Transmission Capability</w:t>
      </w:r>
    </w:p>
    <w:p w:rsidR="000C61C9" w:rsidRDefault="000C61C9" w:rsidP="00215216">
      <w:pPr>
        <w:pStyle w:val="Heading1"/>
      </w:pPr>
      <w:bookmarkStart w:id="4" w:name="_Toc382658219"/>
      <w:r>
        <w:t xml:space="preserve">Capital Funding Requirements </w:t>
      </w:r>
      <w:r w:rsidR="00D476F9">
        <w:t>for</w:t>
      </w:r>
      <w:r>
        <w:t xml:space="preserve"> </w:t>
      </w:r>
      <w:r w:rsidR="00566314">
        <w:t xml:space="preserve">TCN </w:t>
      </w:r>
      <w:r>
        <w:t>Business Unit</w:t>
      </w:r>
      <w:r w:rsidR="00D476F9">
        <w:t>s</w:t>
      </w:r>
      <w:bookmarkEnd w:id="4"/>
    </w:p>
    <w:p w:rsidR="000C61C9" w:rsidRDefault="000C61C9" w:rsidP="00215216">
      <w:pPr>
        <w:pStyle w:val="Heading2"/>
      </w:pPr>
      <w:bookmarkStart w:id="5" w:name="_Toc382658220"/>
      <w:r>
        <w:t>Transmission Services Provider</w:t>
      </w:r>
      <w:bookmarkEnd w:id="5"/>
      <w:r>
        <w:t xml:space="preserve"> </w:t>
      </w:r>
    </w:p>
    <w:p w:rsidR="000C61C9" w:rsidRPr="00E804D0" w:rsidRDefault="008E69BD" w:rsidP="00215216">
      <w:r>
        <w:t xml:space="preserve">The </w:t>
      </w:r>
      <w:r w:rsidR="000C61C9">
        <w:t xml:space="preserve">Transmission Services Provider Business Unit is the owner of the transmission network </w:t>
      </w:r>
      <w:r>
        <w:t xml:space="preserve">and is </w:t>
      </w:r>
      <w:r w:rsidR="000C61C9">
        <w:t>responsible for maintaining and constructing lines and substations.  TSP</w:t>
      </w:r>
      <w:r>
        <w:t>’s mission is to</w:t>
      </w:r>
      <w:r w:rsidR="000C61C9" w:rsidRPr="00E804D0">
        <w:t xml:space="preserve"> provid</w:t>
      </w:r>
      <w:r>
        <w:t>e</w:t>
      </w:r>
      <w:r w:rsidR="000C61C9" w:rsidRPr="00E804D0">
        <w:t xml:space="preserve"> electricity transmission services in </w:t>
      </w:r>
      <w:r w:rsidR="00D05C43">
        <w:t xml:space="preserve">a </w:t>
      </w:r>
      <w:r w:rsidR="000C61C9" w:rsidRPr="00E804D0">
        <w:t>cost effect</w:t>
      </w:r>
      <w:r>
        <w:t>ive, efficient and reliable way</w:t>
      </w:r>
      <w:r w:rsidR="000C61C9" w:rsidRPr="00E804D0">
        <w:t xml:space="preserve">. </w:t>
      </w:r>
    </w:p>
    <w:p w:rsidR="000C61C9" w:rsidRDefault="000C61C9" w:rsidP="00215216">
      <w:r>
        <w:t xml:space="preserve">TSP needs to implement an ambitious program of transmission improvements.  </w:t>
      </w:r>
      <w:r w:rsidR="001F0CDD">
        <w:t xml:space="preserve">For the period 2014-15, TCN will focus mainly on refurbishing existing facilities to restore the network to its original capacity, finishing projects that are in various stages of construction, and initiating the construction of over 120 new lines and substations, and many new voltage control facilities, to expand the network to a total load carrying capability of 10,000 MW by 2017.  </w:t>
      </w:r>
    </w:p>
    <w:p w:rsidR="000C61C9" w:rsidRDefault="000C61C9" w:rsidP="00215216">
      <w:r>
        <w:t>TCN has conducted extensive planning and engineering studies to develop an optimal expansion plan to meet the targets</w:t>
      </w:r>
      <w:r w:rsidR="004440C6">
        <w:t xml:space="preserve"> for grid expansion</w:t>
      </w:r>
      <w:r w:rsidR="001F0CDD" w:rsidRPr="001F0CDD">
        <w:t xml:space="preserve"> </w:t>
      </w:r>
      <w:r w:rsidR="001F0CDD">
        <w:t>from 7 GW at present to 10 GW by 2017, and to 20 GW by 2020</w:t>
      </w:r>
      <w:r w:rsidR="004440C6">
        <w:t>.</w:t>
      </w:r>
      <w:r>
        <w:t xml:space="preserve">  </w:t>
      </w:r>
      <w:r w:rsidR="004440C6">
        <w:t xml:space="preserve">The </w:t>
      </w:r>
      <w:r w:rsidR="001F0CDD">
        <w:t xml:space="preserve">detailed studies and results are shown </w:t>
      </w:r>
      <w:r w:rsidR="00010861">
        <w:t xml:space="preserve">in </w:t>
      </w:r>
      <w:r w:rsidR="001F0CDD">
        <w:t xml:space="preserve">Annex 1 </w:t>
      </w:r>
      <w:r w:rsidR="004440C6">
        <w:t xml:space="preserve">of this Investment Appraisal Package.  </w:t>
      </w:r>
      <w:r w:rsidR="00992F51">
        <w:t xml:space="preserve">As further explained in the annex, </w:t>
      </w:r>
      <w:r w:rsidR="008E69BD">
        <w:t>groups</w:t>
      </w:r>
      <w:r w:rsidR="00992F51">
        <w:t xml:space="preserve"> of p</w:t>
      </w:r>
      <w:r>
        <w:t xml:space="preserve">rojects will be completed in phases according to the schedule shown in </w:t>
      </w:r>
      <w:r w:rsidR="00283E70">
        <w:fldChar w:fldCharType="begin"/>
      </w:r>
      <w:r w:rsidR="007D013B">
        <w:instrText xml:space="preserve"> REF _Ref379822501 \h </w:instrText>
      </w:r>
      <w:r w:rsidR="00283E70">
        <w:fldChar w:fldCharType="separate"/>
      </w:r>
      <w:r w:rsidR="002F19E0">
        <w:t xml:space="preserve">Table </w:t>
      </w:r>
      <w:r w:rsidR="002F19E0">
        <w:rPr>
          <w:noProof/>
        </w:rPr>
        <w:t>1</w:t>
      </w:r>
      <w:r w:rsidR="00283E70">
        <w:fldChar w:fldCharType="end"/>
      </w:r>
      <w:r w:rsidR="008E69BD">
        <w:t xml:space="preserve"> below</w:t>
      </w:r>
      <w:r>
        <w:t xml:space="preserve">.  </w:t>
      </w:r>
    </w:p>
    <w:p w:rsidR="000C61C9" w:rsidRDefault="000C61C9" w:rsidP="00215216">
      <w:pPr>
        <w:pStyle w:val="Caption"/>
      </w:pPr>
      <w:bookmarkStart w:id="6" w:name="_Ref379822501"/>
      <w:r>
        <w:lastRenderedPageBreak/>
        <w:t xml:space="preserve">Table </w:t>
      </w:r>
      <w:fldSimple w:instr=" SEQ Table \* ARABIC ">
        <w:r w:rsidR="002F19E0">
          <w:rPr>
            <w:noProof/>
          </w:rPr>
          <w:t>1</w:t>
        </w:r>
      </w:fldSimple>
      <w:bookmarkEnd w:id="6"/>
      <w:r>
        <w:t xml:space="preserve">: </w:t>
      </w:r>
      <w:r w:rsidRPr="001030C3">
        <w:t>TSP T</w:t>
      </w:r>
      <w:r w:rsidRPr="00095FD6">
        <w:t>argets for T</w:t>
      </w:r>
      <w:r w:rsidRPr="001030C3">
        <w:t>ransmission Refurbishment and Expansion Program</w:t>
      </w:r>
    </w:p>
    <w:tbl>
      <w:tblPr>
        <w:tblStyle w:val="TableGrid"/>
        <w:tblW w:w="0" w:type="auto"/>
        <w:jc w:val="center"/>
        <w:tblLook w:val="04A0"/>
      </w:tblPr>
      <w:tblGrid>
        <w:gridCol w:w="5004"/>
        <w:gridCol w:w="1301"/>
        <w:gridCol w:w="1417"/>
        <w:gridCol w:w="1206"/>
      </w:tblGrid>
      <w:tr w:rsidR="000C61C9" w:rsidRPr="001D0E30" w:rsidTr="00095FD6">
        <w:trPr>
          <w:jc w:val="center"/>
        </w:trPr>
        <w:tc>
          <w:tcPr>
            <w:tcW w:w="5004" w:type="dxa"/>
            <w:tcBorders>
              <w:bottom w:val="single" w:sz="4" w:space="0" w:color="auto"/>
            </w:tcBorders>
          </w:tcPr>
          <w:p w:rsidR="000C61C9" w:rsidRPr="001D0E30" w:rsidRDefault="000C61C9" w:rsidP="00215216">
            <w:pPr>
              <w:pStyle w:val="Tablelist"/>
              <w:rPr>
                <w:b/>
              </w:rPr>
            </w:pPr>
          </w:p>
        </w:tc>
        <w:tc>
          <w:tcPr>
            <w:tcW w:w="1301" w:type="dxa"/>
            <w:tcBorders>
              <w:bottom w:val="single" w:sz="4" w:space="0" w:color="auto"/>
            </w:tcBorders>
          </w:tcPr>
          <w:p w:rsidR="000C61C9" w:rsidRPr="001D0E30" w:rsidRDefault="000C61C9" w:rsidP="001D0E30">
            <w:pPr>
              <w:pStyle w:val="Tablelist"/>
              <w:jc w:val="center"/>
              <w:rPr>
                <w:b/>
              </w:rPr>
            </w:pPr>
            <w:r w:rsidRPr="001D0E30">
              <w:rPr>
                <w:b/>
              </w:rPr>
              <w:t xml:space="preserve">USD Millions </w:t>
            </w:r>
          </w:p>
        </w:tc>
        <w:tc>
          <w:tcPr>
            <w:tcW w:w="1417" w:type="dxa"/>
            <w:tcBorders>
              <w:bottom w:val="single" w:sz="4" w:space="0" w:color="auto"/>
            </w:tcBorders>
          </w:tcPr>
          <w:p w:rsidR="000C61C9" w:rsidRPr="001D0E30" w:rsidRDefault="000C61C9" w:rsidP="001D0E30">
            <w:pPr>
              <w:pStyle w:val="Tablelist"/>
              <w:jc w:val="center"/>
              <w:rPr>
                <w:b/>
              </w:rPr>
            </w:pPr>
            <w:r w:rsidRPr="001D0E30">
              <w:rPr>
                <w:b/>
              </w:rPr>
              <w:t>GW Target</w:t>
            </w:r>
          </w:p>
        </w:tc>
        <w:tc>
          <w:tcPr>
            <w:tcW w:w="1206" w:type="dxa"/>
            <w:tcBorders>
              <w:bottom w:val="single" w:sz="4" w:space="0" w:color="auto"/>
            </w:tcBorders>
          </w:tcPr>
          <w:p w:rsidR="000C61C9" w:rsidRPr="001D0E30" w:rsidRDefault="000C61C9" w:rsidP="001D0E30">
            <w:pPr>
              <w:pStyle w:val="Tablelist"/>
              <w:jc w:val="center"/>
              <w:rPr>
                <w:b/>
              </w:rPr>
            </w:pPr>
            <w:r w:rsidRPr="001D0E30">
              <w:rPr>
                <w:b/>
              </w:rPr>
              <w:t>In Service</w:t>
            </w:r>
          </w:p>
        </w:tc>
      </w:tr>
      <w:tr w:rsidR="000C61C9" w:rsidRPr="0052706B" w:rsidTr="00095FD6">
        <w:trPr>
          <w:jc w:val="center"/>
        </w:trPr>
        <w:tc>
          <w:tcPr>
            <w:tcW w:w="5004" w:type="dxa"/>
            <w:tcBorders>
              <w:bottom w:val="nil"/>
            </w:tcBorders>
          </w:tcPr>
          <w:p w:rsidR="000C61C9" w:rsidRPr="0052706B" w:rsidRDefault="000C61C9" w:rsidP="00215216">
            <w:pPr>
              <w:pStyle w:val="Tablelist"/>
            </w:pPr>
            <w:r w:rsidRPr="0052706B">
              <w:t>Capital Refurbishment</w:t>
            </w:r>
          </w:p>
        </w:tc>
        <w:tc>
          <w:tcPr>
            <w:tcW w:w="1301" w:type="dxa"/>
            <w:tcBorders>
              <w:bottom w:val="nil"/>
            </w:tcBorders>
          </w:tcPr>
          <w:p w:rsidR="000C61C9" w:rsidRPr="0052706B" w:rsidRDefault="000C61C9" w:rsidP="001D0E30">
            <w:pPr>
              <w:pStyle w:val="Tablelist"/>
              <w:jc w:val="right"/>
            </w:pPr>
            <w:r w:rsidRPr="0052706B">
              <w:t>$947</w:t>
            </w:r>
          </w:p>
        </w:tc>
        <w:tc>
          <w:tcPr>
            <w:tcW w:w="1417" w:type="dxa"/>
            <w:tcBorders>
              <w:bottom w:val="nil"/>
            </w:tcBorders>
          </w:tcPr>
          <w:p w:rsidR="000C61C9" w:rsidRPr="0052706B" w:rsidRDefault="000C61C9" w:rsidP="001D0E30">
            <w:pPr>
              <w:pStyle w:val="Tablelist"/>
              <w:jc w:val="right"/>
            </w:pPr>
            <w:r>
              <w:t>-</w:t>
            </w:r>
          </w:p>
        </w:tc>
        <w:tc>
          <w:tcPr>
            <w:tcW w:w="1206" w:type="dxa"/>
            <w:tcBorders>
              <w:bottom w:val="nil"/>
            </w:tcBorders>
          </w:tcPr>
          <w:p w:rsidR="000C61C9" w:rsidRPr="0052706B" w:rsidRDefault="000C61C9" w:rsidP="001D0E30">
            <w:pPr>
              <w:pStyle w:val="Tablelist"/>
              <w:jc w:val="center"/>
            </w:pPr>
            <w:r w:rsidRPr="0052706B">
              <w:t>2015</w:t>
            </w:r>
          </w:p>
        </w:tc>
      </w:tr>
      <w:tr w:rsidR="000C61C9" w:rsidRPr="0052706B" w:rsidTr="00095FD6">
        <w:trPr>
          <w:jc w:val="center"/>
        </w:trPr>
        <w:tc>
          <w:tcPr>
            <w:tcW w:w="5004" w:type="dxa"/>
            <w:tcBorders>
              <w:top w:val="nil"/>
              <w:bottom w:val="nil"/>
            </w:tcBorders>
          </w:tcPr>
          <w:p w:rsidR="000C61C9" w:rsidRPr="0052706B" w:rsidRDefault="000C61C9" w:rsidP="00215216">
            <w:pPr>
              <w:pStyle w:val="Tablelist"/>
            </w:pPr>
            <w:r w:rsidRPr="0052706B">
              <w:t>Projects under Construction</w:t>
            </w:r>
          </w:p>
        </w:tc>
        <w:tc>
          <w:tcPr>
            <w:tcW w:w="1301" w:type="dxa"/>
            <w:tcBorders>
              <w:top w:val="nil"/>
              <w:bottom w:val="nil"/>
            </w:tcBorders>
          </w:tcPr>
          <w:p w:rsidR="000C61C9" w:rsidRPr="0052706B" w:rsidRDefault="000C61C9" w:rsidP="001D0E30">
            <w:pPr>
              <w:pStyle w:val="Tablelist"/>
              <w:jc w:val="right"/>
            </w:pPr>
            <w:r w:rsidRPr="0052706B">
              <w:t>$989</w:t>
            </w:r>
          </w:p>
        </w:tc>
        <w:tc>
          <w:tcPr>
            <w:tcW w:w="1417" w:type="dxa"/>
            <w:tcBorders>
              <w:top w:val="nil"/>
              <w:bottom w:val="nil"/>
            </w:tcBorders>
          </w:tcPr>
          <w:p w:rsidR="000C61C9" w:rsidRPr="0052706B" w:rsidRDefault="000C61C9" w:rsidP="001D0E30">
            <w:pPr>
              <w:pStyle w:val="Tablelist"/>
              <w:jc w:val="right"/>
            </w:pPr>
            <w:r>
              <w:t>7-8,000</w:t>
            </w:r>
          </w:p>
        </w:tc>
        <w:tc>
          <w:tcPr>
            <w:tcW w:w="1206" w:type="dxa"/>
            <w:tcBorders>
              <w:top w:val="nil"/>
              <w:bottom w:val="nil"/>
            </w:tcBorders>
          </w:tcPr>
          <w:p w:rsidR="000C61C9" w:rsidRPr="0052706B" w:rsidRDefault="000C61C9" w:rsidP="001D0E30">
            <w:pPr>
              <w:pStyle w:val="Tablelist"/>
              <w:jc w:val="center"/>
            </w:pPr>
            <w:r w:rsidRPr="0052706B">
              <w:t>2015</w:t>
            </w:r>
          </w:p>
        </w:tc>
      </w:tr>
      <w:tr w:rsidR="000C61C9" w:rsidRPr="0052706B" w:rsidTr="00095FD6">
        <w:trPr>
          <w:jc w:val="center"/>
        </w:trPr>
        <w:tc>
          <w:tcPr>
            <w:tcW w:w="5004" w:type="dxa"/>
            <w:tcBorders>
              <w:top w:val="nil"/>
              <w:bottom w:val="nil"/>
            </w:tcBorders>
          </w:tcPr>
          <w:p w:rsidR="000C61C9" w:rsidRPr="0052706B" w:rsidRDefault="000C61C9" w:rsidP="00215216">
            <w:pPr>
              <w:pStyle w:val="Tablelist"/>
            </w:pPr>
            <w:r>
              <w:t>Expand to 10 GW; increase network reliability</w:t>
            </w:r>
          </w:p>
        </w:tc>
        <w:tc>
          <w:tcPr>
            <w:tcW w:w="1301" w:type="dxa"/>
            <w:tcBorders>
              <w:top w:val="nil"/>
              <w:bottom w:val="nil"/>
            </w:tcBorders>
          </w:tcPr>
          <w:p w:rsidR="000C61C9" w:rsidRPr="0052706B" w:rsidRDefault="000C61C9" w:rsidP="001D0E30">
            <w:pPr>
              <w:pStyle w:val="Tablelist"/>
              <w:jc w:val="right"/>
            </w:pPr>
            <w:r w:rsidRPr="0052706B">
              <w:t>$2,235</w:t>
            </w:r>
          </w:p>
        </w:tc>
        <w:tc>
          <w:tcPr>
            <w:tcW w:w="1417" w:type="dxa"/>
            <w:tcBorders>
              <w:top w:val="nil"/>
              <w:bottom w:val="nil"/>
            </w:tcBorders>
          </w:tcPr>
          <w:p w:rsidR="000C61C9" w:rsidRPr="0052706B" w:rsidRDefault="000C61C9" w:rsidP="001D0E30">
            <w:pPr>
              <w:pStyle w:val="Tablelist"/>
              <w:jc w:val="right"/>
            </w:pPr>
            <w:r w:rsidRPr="0052706B">
              <w:t>10,000</w:t>
            </w:r>
          </w:p>
        </w:tc>
        <w:tc>
          <w:tcPr>
            <w:tcW w:w="1206" w:type="dxa"/>
            <w:tcBorders>
              <w:top w:val="nil"/>
              <w:bottom w:val="nil"/>
            </w:tcBorders>
          </w:tcPr>
          <w:p w:rsidR="000C61C9" w:rsidRPr="0052706B" w:rsidRDefault="000C61C9" w:rsidP="001D0E30">
            <w:pPr>
              <w:pStyle w:val="Tablelist"/>
              <w:jc w:val="center"/>
            </w:pPr>
            <w:r w:rsidRPr="0052706B">
              <w:t>2017</w:t>
            </w:r>
          </w:p>
        </w:tc>
      </w:tr>
      <w:tr w:rsidR="000C61C9" w:rsidRPr="0052706B" w:rsidTr="00095FD6">
        <w:trPr>
          <w:jc w:val="center"/>
        </w:trPr>
        <w:tc>
          <w:tcPr>
            <w:tcW w:w="5004" w:type="dxa"/>
            <w:tcBorders>
              <w:top w:val="nil"/>
              <w:bottom w:val="nil"/>
            </w:tcBorders>
          </w:tcPr>
          <w:p w:rsidR="000C61C9" w:rsidRPr="0052706B" w:rsidRDefault="000C61C9" w:rsidP="00215216">
            <w:pPr>
              <w:pStyle w:val="Tablelist"/>
            </w:pPr>
            <w:r>
              <w:t>Expand from 10 GW to 13 GW</w:t>
            </w:r>
          </w:p>
        </w:tc>
        <w:tc>
          <w:tcPr>
            <w:tcW w:w="1301" w:type="dxa"/>
            <w:tcBorders>
              <w:top w:val="nil"/>
              <w:bottom w:val="nil"/>
            </w:tcBorders>
          </w:tcPr>
          <w:p w:rsidR="000C61C9" w:rsidRPr="0052706B" w:rsidRDefault="000C61C9" w:rsidP="001D0E30">
            <w:pPr>
              <w:pStyle w:val="Tablelist"/>
              <w:jc w:val="right"/>
            </w:pPr>
            <w:r w:rsidRPr="0052706B">
              <w:t>$1,570</w:t>
            </w:r>
          </w:p>
        </w:tc>
        <w:tc>
          <w:tcPr>
            <w:tcW w:w="1417" w:type="dxa"/>
            <w:tcBorders>
              <w:top w:val="nil"/>
              <w:bottom w:val="nil"/>
            </w:tcBorders>
          </w:tcPr>
          <w:p w:rsidR="000C61C9" w:rsidRPr="0052706B" w:rsidRDefault="000C61C9" w:rsidP="001D0E30">
            <w:pPr>
              <w:pStyle w:val="Tablelist"/>
              <w:jc w:val="right"/>
            </w:pPr>
            <w:r w:rsidRPr="0052706B">
              <w:t>13,000</w:t>
            </w:r>
          </w:p>
        </w:tc>
        <w:tc>
          <w:tcPr>
            <w:tcW w:w="1206" w:type="dxa"/>
            <w:tcBorders>
              <w:top w:val="nil"/>
              <w:bottom w:val="nil"/>
            </w:tcBorders>
          </w:tcPr>
          <w:p w:rsidR="000C61C9" w:rsidRPr="0052706B" w:rsidRDefault="000C61C9" w:rsidP="001D0E30">
            <w:pPr>
              <w:pStyle w:val="Tablelist"/>
              <w:jc w:val="center"/>
            </w:pPr>
            <w:r w:rsidRPr="0052706B">
              <w:t>2018</w:t>
            </w:r>
          </w:p>
        </w:tc>
      </w:tr>
      <w:tr w:rsidR="000C61C9" w:rsidRPr="0052706B" w:rsidTr="00095FD6">
        <w:trPr>
          <w:jc w:val="center"/>
        </w:trPr>
        <w:tc>
          <w:tcPr>
            <w:tcW w:w="5004" w:type="dxa"/>
            <w:tcBorders>
              <w:top w:val="nil"/>
              <w:bottom w:val="nil"/>
            </w:tcBorders>
          </w:tcPr>
          <w:p w:rsidR="000C61C9" w:rsidRPr="0052706B" w:rsidRDefault="000C61C9" w:rsidP="00215216">
            <w:pPr>
              <w:pStyle w:val="Tablelist"/>
            </w:pPr>
            <w:r>
              <w:t>Expand from 13 GW to 16 GW</w:t>
            </w:r>
          </w:p>
        </w:tc>
        <w:tc>
          <w:tcPr>
            <w:tcW w:w="1301" w:type="dxa"/>
            <w:tcBorders>
              <w:top w:val="nil"/>
              <w:bottom w:val="nil"/>
            </w:tcBorders>
          </w:tcPr>
          <w:p w:rsidR="000C61C9" w:rsidRPr="0052706B" w:rsidRDefault="000C61C9" w:rsidP="001D0E30">
            <w:pPr>
              <w:pStyle w:val="Tablelist"/>
              <w:jc w:val="right"/>
            </w:pPr>
            <w:r w:rsidRPr="0052706B">
              <w:t>$1,000</w:t>
            </w:r>
          </w:p>
        </w:tc>
        <w:tc>
          <w:tcPr>
            <w:tcW w:w="1417" w:type="dxa"/>
            <w:tcBorders>
              <w:top w:val="nil"/>
              <w:bottom w:val="nil"/>
            </w:tcBorders>
          </w:tcPr>
          <w:p w:rsidR="000C61C9" w:rsidRPr="0052706B" w:rsidRDefault="000C61C9" w:rsidP="001D0E30">
            <w:pPr>
              <w:pStyle w:val="Tablelist"/>
              <w:jc w:val="right"/>
            </w:pPr>
            <w:r w:rsidRPr="0052706B">
              <w:t>16,000</w:t>
            </w:r>
          </w:p>
        </w:tc>
        <w:tc>
          <w:tcPr>
            <w:tcW w:w="1206" w:type="dxa"/>
            <w:tcBorders>
              <w:top w:val="nil"/>
              <w:bottom w:val="nil"/>
            </w:tcBorders>
          </w:tcPr>
          <w:p w:rsidR="000C61C9" w:rsidRPr="0052706B" w:rsidRDefault="000C61C9" w:rsidP="001D0E30">
            <w:pPr>
              <w:pStyle w:val="Tablelist"/>
              <w:jc w:val="center"/>
            </w:pPr>
            <w:r w:rsidRPr="0052706B">
              <w:t>2019</w:t>
            </w:r>
          </w:p>
        </w:tc>
      </w:tr>
      <w:tr w:rsidR="000C61C9" w:rsidRPr="0052706B" w:rsidTr="00095FD6">
        <w:trPr>
          <w:jc w:val="center"/>
        </w:trPr>
        <w:tc>
          <w:tcPr>
            <w:tcW w:w="5004" w:type="dxa"/>
            <w:tcBorders>
              <w:top w:val="nil"/>
              <w:bottom w:val="single" w:sz="4" w:space="0" w:color="auto"/>
            </w:tcBorders>
          </w:tcPr>
          <w:p w:rsidR="000C61C9" w:rsidRPr="0052706B" w:rsidRDefault="000C61C9" w:rsidP="00215216">
            <w:pPr>
              <w:pStyle w:val="Tablelist"/>
            </w:pPr>
            <w:r>
              <w:t>Expand from 16 GW to 20 GW</w:t>
            </w:r>
          </w:p>
        </w:tc>
        <w:tc>
          <w:tcPr>
            <w:tcW w:w="1301" w:type="dxa"/>
            <w:tcBorders>
              <w:top w:val="nil"/>
              <w:bottom w:val="single" w:sz="4" w:space="0" w:color="auto"/>
            </w:tcBorders>
          </w:tcPr>
          <w:p w:rsidR="000C61C9" w:rsidRPr="0052706B" w:rsidRDefault="000C61C9" w:rsidP="001D0E30">
            <w:pPr>
              <w:pStyle w:val="Tablelist"/>
              <w:jc w:val="right"/>
            </w:pPr>
            <w:r w:rsidRPr="0052706B">
              <w:t>$1,000</w:t>
            </w:r>
          </w:p>
        </w:tc>
        <w:tc>
          <w:tcPr>
            <w:tcW w:w="1417" w:type="dxa"/>
            <w:tcBorders>
              <w:top w:val="nil"/>
              <w:bottom w:val="single" w:sz="4" w:space="0" w:color="auto"/>
            </w:tcBorders>
          </w:tcPr>
          <w:p w:rsidR="000C61C9" w:rsidRPr="0052706B" w:rsidRDefault="000C61C9" w:rsidP="001D0E30">
            <w:pPr>
              <w:pStyle w:val="Tablelist"/>
              <w:jc w:val="right"/>
            </w:pPr>
            <w:r w:rsidRPr="0052706B">
              <w:t>20,000</w:t>
            </w:r>
          </w:p>
        </w:tc>
        <w:tc>
          <w:tcPr>
            <w:tcW w:w="1206" w:type="dxa"/>
            <w:tcBorders>
              <w:top w:val="nil"/>
              <w:bottom w:val="single" w:sz="4" w:space="0" w:color="auto"/>
            </w:tcBorders>
          </w:tcPr>
          <w:p w:rsidR="000C61C9" w:rsidRPr="0052706B" w:rsidRDefault="000C61C9" w:rsidP="001D0E30">
            <w:pPr>
              <w:pStyle w:val="Tablelist"/>
              <w:jc w:val="center"/>
            </w:pPr>
            <w:r w:rsidRPr="0052706B">
              <w:t>2020</w:t>
            </w:r>
          </w:p>
        </w:tc>
      </w:tr>
      <w:tr w:rsidR="000C61C9" w:rsidRPr="001D0E30" w:rsidTr="00095FD6">
        <w:trPr>
          <w:jc w:val="center"/>
        </w:trPr>
        <w:tc>
          <w:tcPr>
            <w:tcW w:w="5004" w:type="dxa"/>
            <w:shd w:val="clear" w:color="auto" w:fill="auto"/>
          </w:tcPr>
          <w:p w:rsidR="000C61C9" w:rsidRPr="001D0E30" w:rsidRDefault="000C61C9" w:rsidP="00215216">
            <w:pPr>
              <w:pStyle w:val="Tablelist"/>
              <w:rPr>
                <w:b/>
              </w:rPr>
            </w:pPr>
            <w:r w:rsidRPr="001D0E30">
              <w:rPr>
                <w:b/>
              </w:rPr>
              <w:t>Total: 2014-18</w:t>
            </w:r>
          </w:p>
        </w:tc>
        <w:tc>
          <w:tcPr>
            <w:tcW w:w="1301" w:type="dxa"/>
            <w:shd w:val="clear" w:color="auto" w:fill="auto"/>
          </w:tcPr>
          <w:p w:rsidR="000C61C9" w:rsidRPr="001D0E30" w:rsidRDefault="000C61C9" w:rsidP="001D0E30">
            <w:pPr>
              <w:pStyle w:val="Tablelist"/>
              <w:jc w:val="right"/>
              <w:rPr>
                <w:b/>
              </w:rPr>
            </w:pPr>
            <w:r w:rsidRPr="001D0E30">
              <w:rPr>
                <w:b/>
              </w:rPr>
              <w:t>$7,742</w:t>
            </w:r>
          </w:p>
        </w:tc>
        <w:tc>
          <w:tcPr>
            <w:tcW w:w="1417" w:type="dxa"/>
            <w:shd w:val="clear" w:color="auto" w:fill="auto"/>
          </w:tcPr>
          <w:p w:rsidR="000C61C9" w:rsidRPr="001D0E30" w:rsidRDefault="000C61C9" w:rsidP="001D0E30">
            <w:pPr>
              <w:pStyle w:val="Tablelist"/>
              <w:jc w:val="right"/>
              <w:rPr>
                <w:b/>
              </w:rPr>
            </w:pPr>
          </w:p>
        </w:tc>
        <w:tc>
          <w:tcPr>
            <w:tcW w:w="1206" w:type="dxa"/>
            <w:shd w:val="clear" w:color="auto" w:fill="auto"/>
          </w:tcPr>
          <w:p w:rsidR="000C61C9" w:rsidRPr="001D0E30" w:rsidRDefault="000C61C9" w:rsidP="001D0E30">
            <w:pPr>
              <w:pStyle w:val="Tablelist"/>
              <w:jc w:val="center"/>
              <w:rPr>
                <w:b/>
              </w:rPr>
            </w:pPr>
          </w:p>
        </w:tc>
      </w:tr>
    </w:tbl>
    <w:p w:rsidR="000C61C9" w:rsidRDefault="000C61C9" w:rsidP="00215216"/>
    <w:p w:rsidR="000C61C9" w:rsidRDefault="0021655A" w:rsidP="00215216">
      <w:r>
        <w:t>Besides lines and substations projects, TSP</w:t>
      </w:r>
      <w:r w:rsidR="000C61C9">
        <w:t xml:space="preserve"> </w:t>
      </w:r>
      <w:r w:rsidR="00992F51">
        <w:t>needs</w:t>
      </w:r>
      <w:r w:rsidR="000C61C9">
        <w:t xml:space="preserve"> to set up </w:t>
      </w:r>
      <w:r>
        <w:t xml:space="preserve">new </w:t>
      </w:r>
      <w:r w:rsidR="008E69BD">
        <w:t>r</w:t>
      </w:r>
      <w:r w:rsidR="000C61C9">
        <w:t xml:space="preserve">egional </w:t>
      </w:r>
      <w:r w:rsidR="008E69BD">
        <w:t>s</w:t>
      </w:r>
      <w:r w:rsidR="000C61C9">
        <w:t>tores to support the expansion of the network and the maintenanc</w:t>
      </w:r>
      <w:r w:rsidR="008E69BD">
        <w:t>e and construction</w:t>
      </w:r>
      <w:r w:rsidR="000C61C9">
        <w:t xml:space="preserve"> needs of the regions.  </w:t>
      </w:r>
      <w:r w:rsidR="00283E70">
        <w:fldChar w:fldCharType="begin"/>
      </w:r>
      <w:r w:rsidR="007D013B">
        <w:instrText xml:space="preserve"> REF _Ref379822792 \h </w:instrText>
      </w:r>
      <w:r w:rsidR="00283E70">
        <w:fldChar w:fldCharType="separate"/>
      </w:r>
      <w:r w:rsidR="002F19E0">
        <w:t xml:space="preserve">Table </w:t>
      </w:r>
      <w:r w:rsidR="002F19E0">
        <w:rPr>
          <w:noProof/>
        </w:rPr>
        <w:t>2</w:t>
      </w:r>
      <w:r w:rsidR="00283E70">
        <w:fldChar w:fldCharType="end"/>
      </w:r>
      <w:r>
        <w:t xml:space="preserve"> lists the numbers required.  </w:t>
      </w:r>
      <w:r w:rsidR="000C61C9">
        <w:t>It is planned to complete the exercise within 15 months starting from the availability of funds.</w:t>
      </w:r>
    </w:p>
    <w:p w:rsidR="000C61C9" w:rsidRDefault="000C61C9" w:rsidP="00215216">
      <w:pPr>
        <w:pStyle w:val="Caption"/>
      </w:pPr>
      <w:bookmarkStart w:id="7" w:name="_Ref379822792"/>
      <w:r>
        <w:t xml:space="preserve">Table </w:t>
      </w:r>
      <w:fldSimple w:instr=" SEQ Table \* ARABIC ">
        <w:r w:rsidR="002F19E0">
          <w:rPr>
            <w:noProof/>
          </w:rPr>
          <w:t>2</w:t>
        </w:r>
      </w:fldSimple>
      <w:bookmarkEnd w:id="7"/>
      <w:r>
        <w:t xml:space="preserve">: </w:t>
      </w:r>
      <w:r w:rsidRPr="00147994">
        <w:t xml:space="preserve">TSP </w:t>
      </w:r>
      <w:r w:rsidRPr="00095FD6">
        <w:t>Add</w:t>
      </w:r>
      <w:r w:rsidRPr="00147994">
        <w:t>itions to Land and Buildings 2014-15</w:t>
      </w:r>
    </w:p>
    <w:tbl>
      <w:tblPr>
        <w:tblStyle w:val="TableGrid"/>
        <w:tblW w:w="0" w:type="auto"/>
        <w:jc w:val="center"/>
        <w:tblInd w:w="-486" w:type="dxa"/>
        <w:tblLook w:val="04A0"/>
      </w:tblPr>
      <w:tblGrid>
        <w:gridCol w:w="4554"/>
        <w:gridCol w:w="1080"/>
      </w:tblGrid>
      <w:tr w:rsidR="000C61C9" w:rsidRPr="001D0E30" w:rsidTr="00095FD6">
        <w:trPr>
          <w:jc w:val="center"/>
        </w:trPr>
        <w:tc>
          <w:tcPr>
            <w:tcW w:w="4554" w:type="dxa"/>
            <w:tcBorders>
              <w:bottom w:val="single" w:sz="4" w:space="0" w:color="auto"/>
            </w:tcBorders>
          </w:tcPr>
          <w:p w:rsidR="000C61C9" w:rsidRPr="001D0E30" w:rsidRDefault="000C61C9" w:rsidP="00215216">
            <w:pPr>
              <w:pStyle w:val="Tablelist"/>
              <w:rPr>
                <w:b/>
              </w:rPr>
            </w:pPr>
            <w:r w:rsidRPr="001D0E30">
              <w:rPr>
                <w:b/>
              </w:rPr>
              <w:t>TSP Land &amp; Buildings</w:t>
            </w:r>
          </w:p>
        </w:tc>
        <w:tc>
          <w:tcPr>
            <w:tcW w:w="1080" w:type="dxa"/>
            <w:tcBorders>
              <w:bottom w:val="single" w:sz="4" w:space="0" w:color="auto"/>
            </w:tcBorders>
          </w:tcPr>
          <w:p w:rsidR="000C61C9" w:rsidRPr="001D0E30" w:rsidRDefault="000C61C9" w:rsidP="001D0E30">
            <w:pPr>
              <w:pStyle w:val="Tablelist"/>
              <w:jc w:val="center"/>
              <w:rPr>
                <w:b/>
              </w:rPr>
            </w:pPr>
            <w:r w:rsidRPr="001D0E30">
              <w:rPr>
                <w:b/>
              </w:rPr>
              <w:t>Number</w:t>
            </w:r>
          </w:p>
        </w:tc>
      </w:tr>
      <w:tr w:rsidR="000C61C9" w:rsidRPr="000142B2" w:rsidTr="00095FD6">
        <w:trPr>
          <w:jc w:val="center"/>
        </w:trPr>
        <w:tc>
          <w:tcPr>
            <w:tcW w:w="4554" w:type="dxa"/>
            <w:tcBorders>
              <w:bottom w:val="nil"/>
            </w:tcBorders>
          </w:tcPr>
          <w:p w:rsidR="000C61C9" w:rsidRPr="000142B2" w:rsidRDefault="000C61C9" w:rsidP="00215216">
            <w:pPr>
              <w:pStyle w:val="Tablelist"/>
            </w:pPr>
            <w:r w:rsidRPr="000142B2">
              <w:t>Regional Warehouses/Stores</w:t>
            </w:r>
          </w:p>
        </w:tc>
        <w:tc>
          <w:tcPr>
            <w:tcW w:w="1080" w:type="dxa"/>
            <w:tcBorders>
              <w:bottom w:val="nil"/>
            </w:tcBorders>
          </w:tcPr>
          <w:p w:rsidR="000C61C9" w:rsidRPr="000142B2" w:rsidRDefault="000C61C9" w:rsidP="001D0E30">
            <w:pPr>
              <w:pStyle w:val="Tablelist"/>
              <w:jc w:val="center"/>
            </w:pPr>
            <w:r w:rsidRPr="000142B2">
              <w:t>8</w:t>
            </w:r>
          </w:p>
        </w:tc>
      </w:tr>
      <w:tr w:rsidR="000C61C9" w:rsidRPr="000142B2" w:rsidTr="00095FD6">
        <w:trPr>
          <w:jc w:val="center"/>
        </w:trPr>
        <w:tc>
          <w:tcPr>
            <w:tcW w:w="4554" w:type="dxa"/>
            <w:tcBorders>
              <w:top w:val="nil"/>
              <w:bottom w:val="nil"/>
            </w:tcBorders>
          </w:tcPr>
          <w:p w:rsidR="000C61C9" w:rsidRPr="000142B2" w:rsidRDefault="000C61C9" w:rsidP="00215216">
            <w:pPr>
              <w:pStyle w:val="Tablelist"/>
            </w:pPr>
            <w:r w:rsidRPr="000142B2">
              <w:t>Add - Transformer Reclamation Workshop</w:t>
            </w:r>
          </w:p>
        </w:tc>
        <w:tc>
          <w:tcPr>
            <w:tcW w:w="1080" w:type="dxa"/>
            <w:tcBorders>
              <w:top w:val="nil"/>
              <w:bottom w:val="nil"/>
            </w:tcBorders>
          </w:tcPr>
          <w:p w:rsidR="000C61C9" w:rsidRPr="000142B2" w:rsidRDefault="000C61C9" w:rsidP="001D0E30">
            <w:pPr>
              <w:pStyle w:val="Tablelist"/>
              <w:jc w:val="center"/>
            </w:pPr>
            <w:r w:rsidRPr="000142B2">
              <w:t>1</w:t>
            </w:r>
          </w:p>
        </w:tc>
      </w:tr>
      <w:tr w:rsidR="000C61C9" w:rsidTr="00095FD6">
        <w:trPr>
          <w:jc w:val="center"/>
        </w:trPr>
        <w:tc>
          <w:tcPr>
            <w:tcW w:w="4554" w:type="dxa"/>
            <w:tcBorders>
              <w:top w:val="nil"/>
            </w:tcBorders>
          </w:tcPr>
          <w:p w:rsidR="000C61C9" w:rsidRPr="000142B2" w:rsidRDefault="000C61C9" w:rsidP="00215216">
            <w:pPr>
              <w:pStyle w:val="Tablelist"/>
            </w:pPr>
            <w:r w:rsidRPr="000142B2">
              <w:t>Add - Regional Manager Offices</w:t>
            </w:r>
          </w:p>
        </w:tc>
        <w:tc>
          <w:tcPr>
            <w:tcW w:w="1080" w:type="dxa"/>
            <w:tcBorders>
              <w:top w:val="nil"/>
            </w:tcBorders>
          </w:tcPr>
          <w:p w:rsidR="000C61C9" w:rsidRDefault="000C61C9" w:rsidP="001D0E30">
            <w:pPr>
              <w:pStyle w:val="Tablelist"/>
              <w:jc w:val="center"/>
            </w:pPr>
            <w:r w:rsidRPr="000142B2">
              <w:t>8</w:t>
            </w:r>
          </w:p>
        </w:tc>
      </w:tr>
    </w:tbl>
    <w:p w:rsidR="000C61C9" w:rsidRDefault="000C61C9" w:rsidP="00215216"/>
    <w:p w:rsidR="000C61C9" w:rsidRDefault="00283E70" w:rsidP="00215216">
      <w:r>
        <w:fldChar w:fldCharType="begin"/>
      </w:r>
      <w:r w:rsidR="007D013B">
        <w:instrText xml:space="preserve"> REF _Ref379822845 \h </w:instrText>
      </w:r>
      <w:r>
        <w:fldChar w:fldCharType="separate"/>
      </w:r>
      <w:r w:rsidR="002F19E0">
        <w:t xml:space="preserve">Table </w:t>
      </w:r>
      <w:r w:rsidR="002F19E0">
        <w:rPr>
          <w:noProof/>
        </w:rPr>
        <w:t>3</w:t>
      </w:r>
      <w:r>
        <w:fldChar w:fldCharType="end"/>
      </w:r>
      <w:r w:rsidR="000C61C9">
        <w:t xml:space="preserve"> shows </w:t>
      </w:r>
      <w:r w:rsidR="008E69BD">
        <w:t xml:space="preserve">needed </w:t>
      </w:r>
      <w:r w:rsidR="000C61C9">
        <w:t>TSP vehicle additions.  With expansion of the network and transfer of NIPP facilities to TSP, many new vehicles will be needed in 2014-15</w:t>
      </w:r>
      <w:r w:rsidR="008E69BD">
        <w:t>, including</w:t>
      </w:r>
      <w:r w:rsidR="000C61C9">
        <w:t xml:space="preserve"> a new fleet of heavy duty maintenance vehicles that will have the capabilities to reach the off-road and remote locations in the grid to ensure proper maintenance is conducted in the most efficient manner</w:t>
      </w:r>
      <w:r w:rsidR="00D476F9">
        <w:t>, and specialized u</w:t>
      </w:r>
      <w:r w:rsidR="000C61C9">
        <w:t xml:space="preserve">tility </w:t>
      </w:r>
      <w:r w:rsidR="00D476F9">
        <w:t>v</w:t>
      </w:r>
      <w:r w:rsidR="000C61C9">
        <w:t xml:space="preserve">ehicles like bucket trucks and cranes.  </w:t>
      </w:r>
      <w:r w:rsidR="000C61C9" w:rsidRPr="007F4C04">
        <w:t xml:space="preserve">Heavy utility trucks are also </w:t>
      </w:r>
      <w:r w:rsidR="008E69BD">
        <w:t>neede</w:t>
      </w:r>
      <w:r w:rsidR="000C61C9" w:rsidRPr="007F4C04">
        <w:t>d for each of the eight TSP Regions across the country.</w:t>
      </w:r>
    </w:p>
    <w:p w:rsidR="000C61C9" w:rsidRDefault="000C61C9" w:rsidP="00215216">
      <w:pPr>
        <w:pStyle w:val="Caption"/>
      </w:pPr>
      <w:bookmarkStart w:id="8" w:name="_Ref379822845"/>
      <w:r>
        <w:t xml:space="preserve">Table </w:t>
      </w:r>
      <w:fldSimple w:instr=" SEQ Table \* ARABIC ">
        <w:r w:rsidR="002F19E0">
          <w:rPr>
            <w:noProof/>
          </w:rPr>
          <w:t>3</w:t>
        </w:r>
      </w:fldSimple>
      <w:bookmarkEnd w:id="8"/>
      <w:r>
        <w:t xml:space="preserve">: </w:t>
      </w:r>
      <w:r w:rsidRPr="00147994">
        <w:t>TSP Vehicle Additions</w:t>
      </w:r>
    </w:p>
    <w:tbl>
      <w:tblPr>
        <w:tblStyle w:val="TableGrid"/>
        <w:tblW w:w="0" w:type="auto"/>
        <w:jc w:val="center"/>
        <w:tblLook w:val="04A0"/>
      </w:tblPr>
      <w:tblGrid>
        <w:gridCol w:w="4068"/>
        <w:gridCol w:w="1080"/>
        <w:gridCol w:w="1080"/>
      </w:tblGrid>
      <w:tr w:rsidR="000C61C9" w:rsidRPr="001D0E30" w:rsidTr="000D46E1">
        <w:trPr>
          <w:jc w:val="center"/>
        </w:trPr>
        <w:tc>
          <w:tcPr>
            <w:tcW w:w="4068" w:type="dxa"/>
            <w:tcBorders>
              <w:bottom w:val="single" w:sz="4" w:space="0" w:color="auto"/>
            </w:tcBorders>
          </w:tcPr>
          <w:p w:rsidR="000C61C9" w:rsidRPr="001D0E30" w:rsidRDefault="000C61C9" w:rsidP="00215216">
            <w:pPr>
              <w:pStyle w:val="Tablelist"/>
              <w:rPr>
                <w:b/>
              </w:rPr>
            </w:pPr>
            <w:r w:rsidRPr="001D0E30">
              <w:rPr>
                <w:b/>
              </w:rPr>
              <w:t xml:space="preserve">Vehicle Fleet </w:t>
            </w:r>
          </w:p>
        </w:tc>
        <w:tc>
          <w:tcPr>
            <w:tcW w:w="1080" w:type="dxa"/>
            <w:tcBorders>
              <w:bottom w:val="single" w:sz="4" w:space="0" w:color="auto"/>
            </w:tcBorders>
          </w:tcPr>
          <w:p w:rsidR="000C61C9" w:rsidRPr="001D0E30" w:rsidRDefault="000C61C9" w:rsidP="001D0E30">
            <w:pPr>
              <w:pStyle w:val="Tablelist"/>
              <w:jc w:val="center"/>
              <w:rPr>
                <w:b/>
              </w:rPr>
            </w:pPr>
            <w:r w:rsidRPr="001D0E30">
              <w:rPr>
                <w:b/>
              </w:rPr>
              <w:t>2014</w:t>
            </w:r>
          </w:p>
        </w:tc>
        <w:tc>
          <w:tcPr>
            <w:tcW w:w="1080" w:type="dxa"/>
            <w:tcBorders>
              <w:bottom w:val="single" w:sz="4" w:space="0" w:color="auto"/>
            </w:tcBorders>
          </w:tcPr>
          <w:p w:rsidR="000C61C9" w:rsidRPr="001D0E30" w:rsidRDefault="000C61C9" w:rsidP="001D0E30">
            <w:pPr>
              <w:pStyle w:val="Tablelist"/>
              <w:jc w:val="center"/>
              <w:rPr>
                <w:b/>
              </w:rPr>
            </w:pPr>
            <w:r w:rsidRPr="001D0E30">
              <w:rPr>
                <w:b/>
              </w:rPr>
              <w:t>2015</w:t>
            </w:r>
          </w:p>
        </w:tc>
      </w:tr>
      <w:tr w:rsidR="000C61C9" w:rsidRPr="0075442F" w:rsidTr="000D46E1">
        <w:trPr>
          <w:jc w:val="center"/>
        </w:trPr>
        <w:tc>
          <w:tcPr>
            <w:tcW w:w="4068" w:type="dxa"/>
            <w:tcBorders>
              <w:bottom w:val="nil"/>
            </w:tcBorders>
          </w:tcPr>
          <w:p w:rsidR="000C61C9" w:rsidRPr="0075442F" w:rsidRDefault="000C61C9" w:rsidP="00215216">
            <w:pPr>
              <w:pStyle w:val="Tablelist"/>
            </w:pPr>
            <w:r w:rsidRPr="0075442F">
              <w:t>TSP Maintenance Vehicles</w:t>
            </w:r>
          </w:p>
        </w:tc>
        <w:tc>
          <w:tcPr>
            <w:tcW w:w="1080" w:type="dxa"/>
            <w:tcBorders>
              <w:bottom w:val="nil"/>
            </w:tcBorders>
          </w:tcPr>
          <w:p w:rsidR="000C61C9" w:rsidRPr="0075442F" w:rsidRDefault="000C61C9" w:rsidP="001D0E30">
            <w:pPr>
              <w:pStyle w:val="Tablelist"/>
              <w:jc w:val="center"/>
            </w:pPr>
            <w:r>
              <w:t>200</w:t>
            </w:r>
          </w:p>
        </w:tc>
        <w:tc>
          <w:tcPr>
            <w:tcW w:w="1080" w:type="dxa"/>
            <w:tcBorders>
              <w:bottom w:val="nil"/>
            </w:tcBorders>
          </w:tcPr>
          <w:p w:rsidR="000C61C9" w:rsidRPr="0075442F" w:rsidRDefault="000C61C9" w:rsidP="001D0E30">
            <w:pPr>
              <w:pStyle w:val="Tablelist"/>
              <w:jc w:val="center"/>
            </w:pPr>
            <w:r>
              <w:t>120</w:t>
            </w:r>
          </w:p>
        </w:tc>
      </w:tr>
      <w:tr w:rsidR="000C61C9" w:rsidRPr="0075442F" w:rsidTr="000D46E1">
        <w:trPr>
          <w:jc w:val="center"/>
        </w:trPr>
        <w:tc>
          <w:tcPr>
            <w:tcW w:w="4068" w:type="dxa"/>
            <w:tcBorders>
              <w:top w:val="nil"/>
              <w:bottom w:val="nil"/>
            </w:tcBorders>
          </w:tcPr>
          <w:p w:rsidR="000C61C9" w:rsidRPr="0075442F" w:rsidRDefault="000C61C9" w:rsidP="00215216">
            <w:pPr>
              <w:pStyle w:val="Tablelist"/>
            </w:pPr>
            <w:r w:rsidRPr="0075442F">
              <w:t>TSP Utility Vehicles</w:t>
            </w:r>
          </w:p>
        </w:tc>
        <w:tc>
          <w:tcPr>
            <w:tcW w:w="1080" w:type="dxa"/>
            <w:tcBorders>
              <w:top w:val="nil"/>
              <w:bottom w:val="nil"/>
            </w:tcBorders>
          </w:tcPr>
          <w:p w:rsidR="000C61C9" w:rsidRPr="0075442F" w:rsidRDefault="000C61C9" w:rsidP="001D0E30">
            <w:pPr>
              <w:pStyle w:val="Tablelist"/>
              <w:jc w:val="center"/>
            </w:pPr>
            <w:r w:rsidRPr="0075442F">
              <w:t>8</w:t>
            </w:r>
          </w:p>
        </w:tc>
        <w:tc>
          <w:tcPr>
            <w:tcW w:w="1080" w:type="dxa"/>
            <w:tcBorders>
              <w:top w:val="nil"/>
              <w:bottom w:val="nil"/>
            </w:tcBorders>
          </w:tcPr>
          <w:p w:rsidR="000C61C9" w:rsidRPr="0075442F" w:rsidRDefault="000C61C9" w:rsidP="001D0E30">
            <w:pPr>
              <w:pStyle w:val="Tablelist"/>
              <w:jc w:val="center"/>
            </w:pPr>
          </w:p>
        </w:tc>
      </w:tr>
      <w:tr w:rsidR="000C61C9" w:rsidRPr="0075442F" w:rsidTr="000D46E1">
        <w:trPr>
          <w:jc w:val="center"/>
        </w:trPr>
        <w:tc>
          <w:tcPr>
            <w:tcW w:w="4068" w:type="dxa"/>
            <w:tcBorders>
              <w:top w:val="nil"/>
            </w:tcBorders>
          </w:tcPr>
          <w:p w:rsidR="000C61C9" w:rsidRPr="0075442F" w:rsidRDefault="000C61C9" w:rsidP="00215216">
            <w:pPr>
              <w:pStyle w:val="Tablelist"/>
            </w:pPr>
            <w:r w:rsidRPr="0075442F">
              <w:t xml:space="preserve">TSP </w:t>
            </w:r>
            <w:r>
              <w:t>Other Vehicles</w:t>
            </w:r>
          </w:p>
        </w:tc>
        <w:tc>
          <w:tcPr>
            <w:tcW w:w="1080" w:type="dxa"/>
            <w:tcBorders>
              <w:top w:val="nil"/>
            </w:tcBorders>
          </w:tcPr>
          <w:p w:rsidR="000C61C9" w:rsidRPr="0075442F" w:rsidRDefault="000C61C9" w:rsidP="001D0E30">
            <w:pPr>
              <w:pStyle w:val="Tablelist"/>
              <w:jc w:val="center"/>
            </w:pPr>
            <w:r>
              <w:t>103</w:t>
            </w:r>
          </w:p>
        </w:tc>
        <w:tc>
          <w:tcPr>
            <w:tcW w:w="1080" w:type="dxa"/>
            <w:tcBorders>
              <w:top w:val="nil"/>
            </w:tcBorders>
          </w:tcPr>
          <w:p w:rsidR="000C61C9" w:rsidRPr="0075442F" w:rsidRDefault="000C61C9" w:rsidP="001D0E30">
            <w:pPr>
              <w:pStyle w:val="Tablelist"/>
              <w:jc w:val="center"/>
            </w:pPr>
            <w:r>
              <w:t>52</w:t>
            </w:r>
          </w:p>
        </w:tc>
      </w:tr>
    </w:tbl>
    <w:p w:rsidR="000C61C9" w:rsidRDefault="000C61C9" w:rsidP="00215216"/>
    <w:p w:rsidR="00B860E9" w:rsidRDefault="00B860E9" w:rsidP="00215216">
      <w:pPr>
        <w:pStyle w:val="Heading2"/>
      </w:pPr>
      <w:bookmarkStart w:id="9" w:name="_Toc382658221"/>
      <w:r>
        <w:lastRenderedPageBreak/>
        <w:t>System Operator</w:t>
      </w:r>
      <w:bookmarkEnd w:id="9"/>
      <w:r>
        <w:t xml:space="preserve"> </w:t>
      </w:r>
    </w:p>
    <w:p w:rsidR="001343F3" w:rsidRDefault="001343F3" w:rsidP="00215216">
      <w:r>
        <w:t>The System Operat</w:t>
      </w:r>
      <w:r w:rsidR="00010861">
        <w:t>or</w:t>
      </w:r>
      <w:r>
        <w:t xml:space="preserve"> </w:t>
      </w:r>
      <w:r w:rsidR="00886975">
        <w:t>ensures</w:t>
      </w:r>
      <w:r>
        <w:t xml:space="preserve"> integrated operation of the power system in Nigeria. All generating plants, distribution companies and the Transmission Service Provider are stakeholders of SO. The main responsibilities of SO include</w:t>
      </w:r>
      <w:r w:rsidR="007561CF">
        <w:t>:</w:t>
      </w:r>
    </w:p>
    <w:p w:rsidR="001343F3" w:rsidRDefault="001343F3" w:rsidP="001D0E30">
      <w:pPr>
        <w:pStyle w:val="bullet"/>
      </w:pPr>
      <w:r>
        <w:t>Monitor system parameters and security.</w:t>
      </w:r>
    </w:p>
    <w:p w:rsidR="001343F3" w:rsidRDefault="001343F3" w:rsidP="001D0E30">
      <w:pPr>
        <w:pStyle w:val="bullet"/>
      </w:pPr>
      <w:r>
        <w:t>Ensure integrated operation of the power system to deliver quality uninterrupted power.</w:t>
      </w:r>
    </w:p>
    <w:p w:rsidR="001343F3" w:rsidRDefault="001343F3" w:rsidP="001D0E30">
      <w:pPr>
        <w:pStyle w:val="bullet"/>
      </w:pPr>
      <w:r>
        <w:t>Facilitate merit order dispatch.</w:t>
      </w:r>
    </w:p>
    <w:p w:rsidR="001343F3" w:rsidRDefault="001343F3" w:rsidP="001D0E30">
      <w:pPr>
        <w:pStyle w:val="bullet"/>
      </w:pPr>
      <w:r>
        <w:t>Facilitate the operation of the power market through bilateral exchange.</w:t>
      </w:r>
    </w:p>
    <w:p w:rsidR="001343F3" w:rsidRDefault="001343F3" w:rsidP="001D0E30">
      <w:pPr>
        <w:pStyle w:val="bullet"/>
      </w:pPr>
      <w:r>
        <w:t>Undertake power system studies, comprehensive system planning and contingency analysis.</w:t>
      </w:r>
    </w:p>
    <w:p w:rsidR="001343F3" w:rsidRDefault="00010861" w:rsidP="001D0E30">
      <w:pPr>
        <w:pStyle w:val="outofbullet2"/>
      </w:pPr>
      <w:r>
        <w:t>Maintain and augment</w:t>
      </w:r>
      <w:r w:rsidR="001343F3">
        <w:t xml:space="preserve"> telemetry, computing and communication facilities.</w:t>
      </w:r>
    </w:p>
    <w:p w:rsidR="0094005C" w:rsidRDefault="0094005C" w:rsidP="00215216">
      <w:r>
        <w:t>The SO needs to undertake the following major new projects in 2014-15, in addition to expenditures for basic office and transport needs:</w:t>
      </w:r>
    </w:p>
    <w:p w:rsidR="0094005C" w:rsidRDefault="0094005C" w:rsidP="001D0E30">
      <w:pPr>
        <w:pStyle w:val="bullet"/>
      </w:pPr>
      <w:r w:rsidRPr="000142B2">
        <w:t xml:space="preserve">SCADA </w:t>
      </w:r>
      <w:r>
        <w:t>Restoration and Expansion: $33 Million</w:t>
      </w:r>
    </w:p>
    <w:p w:rsidR="0094005C" w:rsidRDefault="0094005C" w:rsidP="001D0E30">
      <w:pPr>
        <w:pStyle w:val="bullet"/>
      </w:pPr>
      <w:r w:rsidRPr="000142B2">
        <w:t>Telecoms</w:t>
      </w:r>
      <w:r>
        <w:t xml:space="preserve"> improvement project: $</w:t>
      </w:r>
      <w:r w:rsidRPr="000142B2">
        <w:t>26</w:t>
      </w:r>
      <w:r>
        <w:t xml:space="preserve"> Million</w:t>
      </w:r>
    </w:p>
    <w:p w:rsidR="0094005C" w:rsidRDefault="0094005C" w:rsidP="001D0E30">
      <w:pPr>
        <w:pStyle w:val="outofbullet2"/>
      </w:pPr>
      <w:r>
        <w:t>New Control Center Building at NCC: $40 Million</w:t>
      </w:r>
    </w:p>
    <w:p w:rsidR="001343F3" w:rsidRDefault="001343F3" w:rsidP="00215216">
      <w:r>
        <w:t>The following sections provide the justification for the required capital expenditures.</w:t>
      </w:r>
    </w:p>
    <w:p w:rsidR="001343F3" w:rsidRPr="001D0E30" w:rsidRDefault="001343F3" w:rsidP="00215216">
      <w:pPr>
        <w:rPr>
          <w:b/>
          <w:i/>
        </w:rPr>
      </w:pPr>
      <w:r w:rsidRPr="001D0E30">
        <w:rPr>
          <w:b/>
          <w:i/>
        </w:rPr>
        <w:t>SCADA and Telecom</w:t>
      </w:r>
    </w:p>
    <w:p w:rsidR="001343F3" w:rsidRDefault="001343F3" w:rsidP="00215216">
      <w:r>
        <w:t xml:space="preserve">The present SCADA system (World Bank 2009 project) is mostly dysfunctional and is being made to somehow serve the purpose with reactivation contracts. Further, since 2009 till date, new generating stations and substations have been added into the power system, which are not connected to the SCADA system through RTUs. So a new modern SCADA system is required and once it is implemented it has to be maintained and updated. The cost towards the new SCADA system has been captured in the </w:t>
      </w:r>
      <w:r w:rsidR="00010861">
        <w:t>c</w:t>
      </w:r>
      <w:r>
        <w:t>apital budget while the cost towards maintaining and updating the system besides providing for spares is c</w:t>
      </w:r>
      <w:r w:rsidR="007561CF">
        <w:t xml:space="preserve">aptured in the </w:t>
      </w:r>
      <w:r w:rsidR="00010861">
        <w:t>o</w:t>
      </w:r>
      <w:r w:rsidR="007561CF">
        <w:t xml:space="preserve">perating budget.  </w:t>
      </w:r>
      <w:r>
        <w:t>The project to have a new SCADA system will take eighteen months from placing orders to successful commissioning.</w:t>
      </w:r>
    </w:p>
    <w:p w:rsidR="001343F3" w:rsidRDefault="001343F3" w:rsidP="00215216">
      <w:r>
        <w:t xml:space="preserve">The voice and data communication is done through optic fibre, micro wave and PLCC. This system is radial which makes it very vulnerable to outages. Hence it is planned to make a ring network configuration encompassing the new and old stations, so that </w:t>
      </w:r>
      <w:r w:rsidR="00EE3F21">
        <w:t>in case</w:t>
      </w:r>
      <w:r>
        <w:t xml:space="preserve"> of any outage there is always an alternate path available. Secondly the identified weak links need to be revamped for seamless communication for the SCADA system. Thirdly many new stations which have come up are not effectively covered through a communication link. Lastly we need to put in </w:t>
      </w:r>
      <w:r>
        <w:lastRenderedPageBreak/>
        <w:t xml:space="preserve">place a hotline voice communication from NCC to other control centers or stations of Discos and </w:t>
      </w:r>
      <w:proofErr w:type="spellStart"/>
      <w:r>
        <w:t>Gencos</w:t>
      </w:r>
      <w:proofErr w:type="spellEnd"/>
      <w:r>
        <w:t xml:space="preserve"> without which real time operation of the power system is highly vulnerable with dependency on GSM network. </w:t>
      </w:r>
    </w:p>
    <w:p w:rsidR="001343F3" w:rsidRDefault="001343F3" w:rsidP="00215216">
      <w:r>
        <w:t xml:space="preserve">All these need to be completed in phases so that we have an effective communication system in place. The costs for implementation and maintaining the communication system is captured in the Capital and Operating budgets respectively. If funded, the entire communication system upgrade project will take around eighteen months to commission. </w:t>
      </w:r>
    </w:p>
    <w:p w:rsidR="000D6C12" w:rsidRPr="001D0E30" w:rsidRDefault="000D6C12" w:rsidP="00215216">
      <w:pPr>
        <w:rPr>
          <w:b/>
          <w:i/>
        </w:rPr>
      </w:pPr>
      <w:r w:rsidRPr="001D0E30">
        <w:rPr>
          <w:b/>
          <w:i/>
        </w:rPr>
        <w:t>New Control Centre Building at NCC</w:t>
      </w:r>
    </w:p>
    <w:p w:rsidR="001343F3" w:rsidRDefault="001343F3" w:rsidP="00215216">
      <w:r>
        <w:t>The co</w:t>
      </w:r>
      <w:r w:rsidR="007561CF">
        <w:t xml:space="preserve">ntrol center building at </w:t>
      </w:r>
      <w:proofErr w:type="spellStart"/>
      <w:r w:rsidR="007561CF">
        <w:t>Osogbo</w:t>
      </w:r>
      <w:proofErr w:type="spellEnd"/>
      <w:r>
        <w:t xml:space="preserve"> is in a dilapidated state and is very small from the perspective of housing up all the SCADA &amp; Telecom servers and maintenance tools besides having the viewing gallery and control room for real-time operation and setting up scheduling desks for TEM. </w:t>
      </w:r>
      <w:r w:rsidR="000D6C12">
        <w:t xml:space="preserve"> </w:t>
      </w:r>
      <w:r>
        <w:t xml:space="preserve">So it is planned to build a new control room within the stretch of available land in </w:t>
      </w:r>
      <w:proofErr w:type="spellStart"/>
      <w:r>
        <w:t>Osogbo</w:t>
      </w:r>
      <w:proofErr w:type="spellEnd"/>
      <w:r>
        <w:t>. The project to have a fully functional new control centre building will require around fifteen months.</w:t>
      </w:r>
    </w:p>
    <w:p w:rsidR="00F9454C" w:rsidRDefault="00F9454C" w:rsidP="00215216">
      <w:pPr>
        <w:pStyle w:val="Heading2"/>
      </w:pPr>
      <w:bookmarkStart w:id="10" w:name="_Toc382658222"/>
      <w:r>
        <w:t>Market Operator</w:t>
      </w:r>
      <w:bookmarkEnd w:id="10"/>
      <w:r>
        <w:t xml:space="preserve"> </w:t>
      </w:r>
    </w:p>
    <w:p w:rsidR="006633E7" w:rsidRDefault="006633E7" w:rsidP="00215216">
      <w:r>
        <w:t>The Market Operat</w:t>
      </w:r>
      <w:r w:rsidR="006E6C68">
        <w:t>or</w:t>
      </w:r>
      <w:r>
        <w:t xml:space="preserve"> is the Nigerian electricity market </w:t>
      </w:r>
      <w:r w:rsidR="005A3237">
        <w:t>a</w:t>
      </w:r>
      <w:r>
        <w:t xml:space="preserve">dministrator designated for the implementation of the Market Rules.  </w:t>
      </w:r>
      <w:r w:rsidR="006E6C68">
        <w:t xml:space="preserve">The MO has been administering the Pre-Transitional Stage of the market since the formal inception of the organized electricity market in 2004.  </w:t>
      </w:r>
      <w:r w:rsidRPr="006633E7">
        <w:t>The Market Rule</w:t>
      </w:r>
      <w:r w:rsidR="006E6C68">
        <w:t>s require</w:t>
      </w:r>
      <w:r w:rsidRPr="006633E7">
        <w:t xml:space="preserve"> the MO to </w:t>
      </w:r>
      <w:r w:rsidR="005A3237">
        <w:t>operate</w:t>
      </w:r>
      <w:r w:rsidRPr="006633E7">
        <w:t xml:space="preserve"> in a manner that guarantees efficiency, transparency and non-discriminatory market administrat</w:t>
      </w:r>
      <w:r w:rsidR="006E6C68">
        <w:t>ion service to all Participants.</w:t>
      </w:r>
    </w:p>
    <w:p w:rsidR="006633E7" w:rsidRDefault="006E6C68" w:rsidP="00215216">
      <w:r>
        <w:t>The MO is responsible for the following duties:</w:t>
      </w:r>
    </w:p>
    <w:p w:rsidR="006633E7" w:rsidRDefault="006633E7" w:rsidP="001D0E30">
      <w:pPr>
        <w:pStyle w:val="bullet"/>
      </w:pPr>
      <w:r w:rsidRPr="006633E7">
        <w:t>Review the efficiency and adequacy of Market Rules and Market Procedures and propose such amendments as may be required to ensure their efficacy and adequacy;</w:t>
      </w:r>
    </w:p>
    <w:p w:rsidR="006633E7" w:rsidRDefault="006633E7" w:rsidP="001D0E30">
      <w:pPr>
        <w:pStyle w:val="bullet"/>
      </w:pPr>
      <w:r w:rsidRPr="006633E7">
        <w:t xml:space="preserve">Admit &amp; Register Participants; </w:t>
      </w:r>
      <w:r w:rsidR="006E6C68">
        <w:t>o</w:t>
      </w:r>
      <w:r w:rsidRPr="006633E7">
        <w:t xml:space="preserve">rganise and </w:t>
      </w:r>
      <w:r w:rsidR="006E6C68">
        <w:t>m</w:t>
      </w:r>
      <w:r w:rsidRPr="006633E7">
        <w:t xml:space="preserve">aintain a Participants’ Register; </w:t>
      </w:r>
      <w:r w:rsidR="006E6C68">
        <w:t>c</w:t>
      </w:r>
      <w:r w:rsidRPr="006633E7">
        <w:t xml:space="preserve">entralise the Information required for </w:t>
      </w:r>
      <w:r w:rsidR="006E6C68">
        <w:t>m</w:t>
      </w:r>
      <w:r w:rsidRPr="006633E7">
        <w:t xml:space="preserve">arket </w:t>
      </w:r>
      <w:r w:rsidR="006E6C68">
        <w:t>a</w:t>
      </w:r>
      <w:r w:rsidRPr="006633E7">
        <w:t xml:space="preserve">dministration, and </w:t>
      </w:r>
      <w:r w:rsidR="006E6C68">
        <w:t>o</w:t>
      </w:r>
      <w:r w:rsidRPr="006633E7">
        <w:t>rganise and maintain the related data bases;</w:t>
      </w:r>
    </w:p>
    <w:p w:rsidR="006633E7" w:rsidRDefault="006633E7" w:rsidP="001D0E30">
      <w:pPr>
        <w:pStyle w:val="bullet"/>
      </w:pPr>
      <w:r w:rsidRPr="006633E7">
        <w:t xml:space="preserve">Verify that each Connection Point  (Trading Point) where a Participant injects or extracts energy has proper commercial metering related to physical exchange </w:t>
      </w:r>
      <w:r w:rsidR="005A3237">
        <w:t>(</w:t>
      </w:r>
      <w:r w:rsidRPr="006633E7">
        <w:t>injection and consumption</w:t>
      </w:r>
      <w:r w:rsidR="005A3237">
        <w:t>)</w:t>
      </w:r>
      <w:r w:rsidRPr="006633E7">
        <w:t xml:space="preserve"> of energy, provision of Ancillary Services and other necessary comme</w:t>
      </w:r>
      <w:r w:rsidR="006E6C68">
        <w:t>rcial transactions;</w:t>
      </w:r>
    </w:p>
    <w:p w:rsidR="006E6C68" w:rsidRDefault="006E6C68" w:rsidP="001D0E30">
      <w:pPr>
        <w:pStyle w:val="outofbullet2"/>
      </w:pPr>
      <w:r>
        <w:t xml:space="preserve">Manage </w:t>
      </w:r>
      <w:r w:rsidR="00D96A2D">
        <w:t xml:space="preserve">the </w:t>
      </w:r>
      <w:r>
        <w:t>market settlement</w:t>
      </w:r>
      <w:r w:rsidR="00D96A2D">
        <w:t xml:space="preserve"> process</w:t>
      </w:r>
      <w:r>
        <w:t xml:space="preserve">, including preparation and transmittal of market invoices to Market Participants, revenue collection from </w:t>
      </w:r>
      <w:proofErr w:type="spellStart"/>
      <w:r>
        <w:t>DisCos</w:t>
      </w:r>
      <w:proofErr w:type="spellEnd"/>
      <w:r>
        <w:t xml:space="preserve">, payment to services provides (MO, SO, NBET, NERC), </w:t>
      </w:r>
      <w:r w:rsidR="00D96A2D">
        <w:t xml:space="preserve">finance and banking, </w:t>
      </w:r>
      <w:r>
        <w:t>and dispute resolution related to settlements and contract quantities.</w:t>
      </w:r>
    </w:p>
    <w:p w:rsidR="00F341BA" w:rsidRDefault="004440C6" w:rsidP="00215216">
      <w:r>
        <w:lastRenderedPageBreak/>
        <w:t>T</w:t>
      </w:r>
      <w:r w:rsidR="005A3237">
        <w:t xml:space="preserve">he MO </w:t>
      </w:r>
      <w:r>
        <w:t>capital expenditure</w:t>
      </w:r>
      <w:r w:rsidR="002956A3">
        <w:t xml:space="preserve"> </w:t>
      </w:r>
      <w:r w:rsidR="005A3237">
        <w:t>budget</w:t>
      </w:r>
      <w:r w:rsidR="00F341BA">
        <w:t xml:space="preserve"> </w:t>
      </w:r>
      <w:r>
        <w:t>for 20</w:t>
      </w:r>
      <w:r w:rsidR="002956A3">
        <w:t>15</w:t>
      </w:r>
      <w:r>
        <w:t xml:space="preserve"> provides for a one-time major project</w:t>
      </w:r>
      <w:r w:rsidR="005A3237">
        <w:t xml:space="preserve"> </w:t>
      </w:r>
      <w:r w:rsidR="00F341BA">
        <w:t xml:space="preserve">to </w:t>
      </w:r>
      <w:r w:rsidR="005A3237">
        <w:t>upgrade settlement system</w:t>
      </w:r>
      <w:r w:rsidR="00F341BA">
        <w:t>s</w:t>
      </w:r>
      <w:r w:rsidR="005A3237">
        <w:t xml:space="preserve"> and tools</w:t>
      </w:r>
      <w:r w:rsidR="00D37EA4">
        <w:t xml:space="preserve"> to achieve </w:t>
      </w:r>
      <w:r w:rsidR="00F341BA">
        <w:t>the following goals:</w:t>
      </w:r>
    </w:p>
    <w:p w:rsidR="00F341BA" w:rsidRDefault="00F341BA" w:rsidP="001D0E30">
      <w:pPr>
        <w:pStyle w:val="bullet"/>
      </w:pPr>
      <w:r>
        <w:t>Improve telecommunications and website interface to automate and streamline business processes for meter data collection and settlements;</w:t>
      </w:r>
    </w:p>
    <w:p w:rsidR="00F341BA" w:rsidRDefault="00F341BA" w:rsidP="001D0E30">
      <w:pPr>
        <w:pStyle w:val="bullet"/>
      </w:pPr>
      <w:r>
        <w:t>Improve ICT in line with corporate governing structure, ICT policy and standards document to cover ICT operations across the enterprise network;</w:t>
      </w:r>
    </w:p>
    <w:p w:rsidR="00F341BA" w:rsidRDefault="00F341BA" w:rsidP="001D0E30">
      <w:pPr>
        <w:pStyle w:val="bullet"/>
      </w:pPr>
      <w:r>
        <w:t>Establish internal controls and security for market sensitive data;</w:t>
      </w:r>
    </w:p>
    <w:p w:rsidR="00F341BA" w:rsidRDefault="00F341BA" w:rsidP="001D0E30">
      <w:pPr>
        <w:pStyle w:val="bullet"/>
      </w:pPr>
      <w:r>
        <w:t xml:space="preserve">Create special fit-for-purpose server room in a restricted part of the building with security arrangements, centralize server resources across the various sections and improve </w:t>
      </w:r>
      <w:r w:rsidR="006A34F2">
        <w:t>authentication</w:t>
      </w:r>
      <w:r>
        <w:t xml:space="preserve"> for users;</w:t>
      </w:r>
    </w:p>
    <w:p w:rsidR="00F341BA" w:rsidRDefault="00F341BA" w:rsidP="001D0E30">
      <w:pPr>
        <w:pStyle w:val="bullet"/>
      </w:pPr>
      <w:r>
        <w:t xml:space="preserve">Fully implement AMR as the primary system for collecting grid meter data and feeding the data to the settlement system;  </w:t>
      </w:r>
    </w:p>
    <w:p w:rsidR="00F341BA" w:rsidRDefault="00F341BA" w:rsidP="001D0E30">
      <w:pPr>
        <w:pStyle w:val="bullet"/>
      </w:pPr>
      <w:r>
        <w:t>Install redundant AMR (hub – ACTARIS System) to address risk of unplanned AMR hub outage;</w:t>
      </w:r>
    </w:p>
    <w:p w:rsidR="00F341BA" w:rsidRDefault="00F341BA" w:rsidP="001D0E30">
      <w:pPr>
        <w:pStyle w:val="bullet"/>
      </w:pPr>
      <w:r>
        <w:t>Create private built-for-purpose web portal for all energy data from the System Operator and all market data supplied to Market Participants;</w:t>
      </w:r>
    </w:p>
    <w:p w:rsidR="00F341BA" w:rsidRDefault="00F341BA" w:rsidP="001D0E30">
      <w:pPr>
        <w:pStyle w:val="outofbullet2"/>
      </w:pPr>
      <w:r>
        <w:t xml:space="preserve">Create </w:t>
      </w:r>
      <w:r w:rsidR="00100DD6">
        <w:t>h</w:t>
      </w:r>
      <w:r>
        <w:t xml:space="preserve">osted e-discovery services should be procured as part of the hosted email service contract.  </w:t>
      </w:r>
    </w:p>
    <w:p w:rsidR="004440C6" w:rsidRDefault="004440C6" w:rsidP="00215216">
      <w:r>
        <w:t>The full specification of this project is not yet available.  The estimated capital expenditure requirement for the project is $10 Million USD (1.6 Billion Naira).</w:t>
      </w:r>
    </w:p>
    <w:p w:rsidR="000D46E1" w:rsidRDefault="000D46E1" w:rsidP="00215216">
      <w:pPr>
        <w:pStyle w:val="Heading1"/>
      </w:pPr>
      <w:bookmarkStart w:id="11" w:name="_Toc382658223"/>
      <w:r>
        <w:t>Funding Sources and Uses</w:t>
      </w:r>
      <w:bookmarkEnd w:id="11"/>
    </w:p>
    <w:p w:rsidR="0021655A" w:rsidRDefault="000D46E1" w:rsidP="00215216">
      <w:pPr>
        <w:pStyle w:val="Heading2"/>
      </w:pPr>
      <w:bookmarkStart w:id="12" w:name="_Toc382658224"/>
      <w:r>
        <w:t xml:space="preserve">Summary of TCN </w:t>
      </w:r>
      <w:r w:rsidR="0021655A">
        <w:t>Capital Expenditure Budget</w:t>
      </w:r>
      <w:r w:rsidR="002A1C63">
        <w:t>s</w:t>
      </w:r>
      <w:bookmarkEnd w:id="12"/>
    </w:p>
    <w:p w:rsidR="0021655A" w:rsidRDefault="0021655A" w:rsidP="00215216">
      <w:r>
        <w:t>This section summarizes TCN’s capital expenditure budget by Business Unit.  The budget projections are driven by the need to refurbish existing facilities, expand/reinforce the network, improve system operations and prepare for the Transitional Electricity Market (TEM).  The Business Unit budgets fully reflect the amounts needed to grow the infrastructure in step with rapid expansion of generation and load.  The budget amounts are significantly higher than past spending levels, reflecting the fact that in the past TCN has suffered from inadequate funding.</w:t>
      </w:r>
    </w:p>
    <w:p w:rsidR="0021655A" w:rsidRPr="00EB1DB4" w:rsidRDefault="00283E70" w:rsidP="00215216">
      <w:r>
        <w:fldChar w:fldCharType="begin"/>
      </w:r>
      <w:r w:rsidR="007D013B">
        <w:instrText xml:space="preserve"> REF _Ref379820470 \h </w:instrText>
      </w:r>
      <w:r>
        <w:fldChar w:fldCharType="separate"/>
      </w:r>
      <w:r w:rsidR="002F19E0">
        <w:t xml:space="preserve">Table </w:t>
      </w:r>
      <w:r w:rsidR="002F19E0">
        <w:rPr>
          <w:noProof/>
        </w:rPr>
        <w:t>4</w:t>
      </w:r>
      <w:r>
        <w:fldChar w:fldCharType="end"/>
      </w:r>
      <w:r w:rsidR="0021655A">
        <w:t xml:space="preserve"> and </w:t>
      </w:r>
      <w:r>
        <w:fldChar w:fldCharType="begin"/>
      </w:r>
      <w:r w:rsidR="007D013B">
        <w:instrText xml:space="preserve"> REF _Ref381019647 \h </w:instrText>
      </w:r>
      <w:r>
        <w:fldChar w:fldCharType="separate"/>
      </w:r>
      <w:r w:rsidR="002F19E0">
        <w:t xml:space="preserve">Table </w:t>
      </w:r>
      <w:r w:rsidR="002F19E0">
        <w:rPr>
          <w:noProof/>
        </w:rPr>
        <w:t>5</w:t>
      </w:r>
      <w:r>
        <w:fldChar w:fldCharType="end"/>
      </w:r>
      <w:r w:rsidR="0021655A">
        <w:t xml:space="preserve"> show the capital expenditure budgets by Business Unit for 2014-18 in dollars and Naira, respectively.  </w:t>
      </w:r>
      <w:r w:rsidR="00D37EA4">
        <w:t xml:space="preserve">The figures shown here include allocation of common costs for shared services to the BUs.  </w:t>
      </w:r>
      <w:r w:rsidR="0021655A">
        <w:t xml:space="preserve">The assumed disbursement profile </w:t>
      </w:r>
      <w:r w:rsidR="00D37EA4">
        <w:t xml:space="preserve">for major projects like lines and substations </w:t>
      </w:r>
      <w:r w:rsidR="0021655A">
        <w:t>is front loaded to open letters of credit covering 70% of project costs.</w:t>
      </w:r>
    </w:p>
    <w:p w:rsidR="0021655A" w:rsidRDefault="0021655A" w:rsidP="00215216">
      <w:pPr>
        <w:pStyle w:val="Caption"/>
      </w:pPr>
      <w:bookmarkStart w:id="13" w:name="_Ref379820470"/>
      <w:r>
        <w:lastRenderedPageBreak/>
        <w:t xml:space="preserve">Table </w:t>
      </w:r>
      <w:fldSimple w:instr=" SEQ Table \* ARABIC ">
        <w:r w:rsidR="002F19E0">
          <w:rPr>
            <w:noProof/>
          </w:rPr>
          <w:t>4</w:t>
        </w:r>
      </w:fldSimple>
      <w:bookmarkEnd w:id="13"/>
      <w:r>
        <w:t>: Capital Expenditure by Business Unit, 2014-18 in Million 2013 USD</w:t>
      </w:r>
    </w:p>
    <w:tbl>
      <w:tblPr>
        <w:tblStyle w:val="TableGrid"/>
        <w:tblW w:w="0" w:type="auto"/>
        <w:tblLook w:val="04A0"/>
      </w:tblPr>
      <w:tblGrid>
        <w:gridCol w:w="3814"/>
        <w:gridCol w:w="986"/>
        <w:gridCol w:w="1147"/>
        <w:gridCol w:w="1228"/>
        <w:gridCol w:w="1066"/>
        <w:gridCol w:w="1002"/>
      </w:tblGrid>
      <w:tr w:rsidR="0021655A" w:rsidRPr="00C035BB" w:rsidTr="00CC0088">
        <w:trPr>
          <w:tblHeader/>
        </w:trPr>
        <w:tc>
          <w:tcPr>
            <w:tcW w:w="4068" w:type="dxa"/>
            <w:tcBorders>
              <w:bottom w:val="single" w:sz="4" w:space="0" w:color="auto"/>
            </w:tcBorders>
          </w:tcPr>
          <w:p w:rsidR="0021655A" w:rsidRPr="00C035BB" w:rsidRDefault="0021655A" w:rsidP="00215216">
            <w:pPr>
              <w:pStyle w:val="Tablelist"/>
            </w:pPr>
            <w:r w:rsidRPr="00C035BB">
              <w:t>$</w:t>
            </w:r>
            <w:r>
              <w:t xml:space="preserve">USD </w:t>
            </w:r>
            <w:r w:rsidRPr="00C035BB">
              <w:t>Millions (2013 $)</w:t>
            </w:r>
          </w:p>
        </w:tc>
        <w:tc>
          <w:tcPr>
            <w:tcW w:w="990" w:type="dxa"/>
            <w:tcBorders>
              <w:bottom w:val="single" w:sz="4" w:space="0" w:color="auto"/>
            </w:tcBorders>
          </w:tcPr>
          <w:p w:rsidR="0021655A" w:rsidRPr="00C035BB" w:rsidRDefault="0021655A" w:rsidP="00A72201">
            <w:pPr>
              <w:pStyle w:val="Tablelist"/>
              <w:jc w:val="center"/>
            </w:pPr>
            <w:r w:rsidRPr="00C035BB">
              <w:t>2014</w:t>
            </w:r>
          </w:p>
        </w:tc>
        <w:tc>
          <w:tcPr>
            <w:tcW w:w="1170" w:type="dxa"/>
            <w:tcBorders>
              <w:bottom w:val="single" w:sz="4" w:space="0" w:color="auto"/>
            </w:tcBorders>
          </w:tcPr>
          <w:p w:rsidR="0021655A" w:rsidRPr="00C035BB" w:rsidRDefault="0021655A" w:rsidP="00A72201">
            <w:pPr>
              <w:pStyle w:val="Tablelist"/>
              <w:jc w:val="center"/>
            </w:pPr>
            <w:r w:rsidRPr="00C035BB">
              <w:t>2015</w:t>
            </w:r>
          </w:p>
        </w:tc>
        <w:tc>
          <w:tcPr>
            <w:tcW w:w="1260" w:type="dxa"/>
            <w:tcBorders>
              <w:bottom w:val="single" w:sz="4" w:space="0" w:color="auto"/>
            </w:tcBorders>
          </w:tcPr>
          <w:p w:rsidR="0021655A" w:rsidRPr="00C035BB" w:rsidRDefault="0021655A" w:rsidP="00A72201">
            <w:pPr>
              <w:pStyle w:val="Tablelist"/>
              <w:jc w:val="center"/>
            </w:pPr>
            <w:r w:rsidRPr="00C035BB">
              <w:t>2016</w:t>
            </w:r>
          </w:p>
        </w:tc>
        <w:tc>
          <w:tcPr>
            <w:tcW w:w="1080" w:type="dxa"/>
            <w:tcBorders>
              <w:bottom w:val="single" w:sz="4" w:space="0" w:color="auto"/>
            </w:tcBorders>
          </w:tcPr>
          <w:p w:rsidR="0021655A" w:rsidRPr="00C035BB" w:rsidRDefault="0021655A" w:rsidP="00A72201">
            <w:pPr>
              <w:pStyle w:val="Tablelist"/>
              <w:jc w:val="center"/>
            </w:pPr>
            <w:r w:rsidRPr="00C035BB">
              <w:t>2017</w:t>
            </w:r>
          </w:p>
        </w:tc>
        <w:tc>
          <w:tcPr>
            <w:tcW w:w="1008" w:type="dxa"/>
            <w:tcBorders>
              <w:bottom w:val="single" w:sz="4" w:space="0" w:color="auto"/>
            </w:tcBorders>
          </w:tcPr>
          <w:p w:rsidR="0021655A" w:rsidRPr="00C035BB" w:rsidRDefault="0021655A" w:rsidP="00A72201">
            <w:pPr>
              <w:pStyle w:val="Tablelist"/>
              <w:jc w:val="center"/>
            </w:pPr>
            <w:r w:rsidRPr="00C035BB">
              <w:t>2018</w:t>
            </w:r>
          </w:p>
        </w:tc>
      </w:tr>
      <w:tr w:rsidR="0021655A" w:rsidRPr="00986D2E" w:rsidTr="000D46E1">
        <w:tc>
          <w:tcPr>
            <w:tcW w:w="4068" w:type="dxa"/>
            <w:tcBorders>
              <w:bottom w:val="nil"/>
            </w:tcBorders>
          </w:tcPr>
          <w:p w:rsidR="0021655A" w:rsidRPr="00010861" w:rsidRDefault="0021655A" w:rsidP="00215216">
            <w:pPr>
              <w:pStyle w:val="Tablelist"/>
              <w:rPr>
                <w:u w:val="single"/>
              </w:rPr>
            </w:pPr>
            <w:r w:rsidRPr="00010861">
              <w:rPr>
                <w:u w:val="single"/>
              </w:rPr>
              <w:t>TSP Capital Expenditure</w:t>
            </w:r>
          </w:p>
        </w:tc>
        <w:tc>
          <w:tcPr>
            <w:tcW w:w="990" w:type="dxa"/>
            <w:tcBorders>
              <w:bottom w:val="nil"/>
            </w:tcBorders>
          </w:tcPr>
          <w:p w:rsidR="0021655A" w:rsidRPr="00986D2E" w:rsidRDefault="0021655A" w:rsidP="00A72201">
            <w:pPr>
              <w:pStyle w:val="Tablelist"/>
              <w:jc w:val="right"/>
            </w:pPr>
          </w:p>
        </w:tc>
        <w:tc>
          <w:tcPr>
            <w:tcW w:w="1170" w:type="dxa"/>
            <w:tcBorders>
              <w:bottom w:val="nil"/>
            </w:tcBorders>
          </w:tcPr>
          <w:p w:rsidR="0021655A" w:rsidRPr="00986D2E" w:rsidRDefault="0021655A" w:rsidP="00A72201">
            <w:pPr>
              <w:pStyle w:val="Tablelist"/>
              <w:jc w:val="right"/>
            </w:pPr>
          </w:p>
        </w:tc>
        <w:tc>
          <w:tcPr>
            <w:tcW w:w="1260" w:type="dxa"/>
            <w:tcBorders>
              <w:bottom w:val="nil"/>
            </w:tcBorders>
          </w:tcPr>
          <w:p w:rsidR="0021655A" w:rsidRPr="00986D2E" w:rsidRDefault="0021655A" w:rsidP="00A72201">
            <w:pPr>
              <w:pStyle w:val="Tablelist"/>
              <w:jc w:val="right"/>
            </w:pPr>
          </w:p>
        </w:tc>
        <w:tc>
          <w:tcPr>
            <w:tcW w:w="1080" w:type="dxa"/>
            <w:tcBorders>
              <w:bottom w:val="nil"/>
            </w:tcBorders>
          </w:tcPr>
          <w:p w:rsidR="0021655A" w:rsidRPr="00986D2E" w:rsidRDefault="0021655A" w:rsidP="00A72201">
            <w:pPr>
              <w:pStyle w:val="Tablelist"/>
              <w:jc w:val="right"/>
            </w:pPr>
          </w:p>
        </w:tc>
        <w:tc>
          <w:tcPr>
            <w:tcW w:w="1008" w:type="dxa"/>
            <w:tcBorders>
              <w:bottom w:val="nil"/>
            </w:tcBorders>
          </w:tcPr>
          <w:p w:rsidR="0021655A" w:rsidRPr="00986D2E" w:rsidRDefault="0021655A" w:rsidP="00A72201">
            <w:pPr>
              <w:pStyle w:val="Tablelist"/>
              <w:jc w:val="right"/>
            </w:pPr>
          </w:p>
        </w:tc>
      </w:tr>
      <w:tr w:rsidR="0021655A" w:rsidRPr="00986D2E" w:rsidTr="000D46E1">
        <w:tc>
          <w:tcPr>
            <w:tcW w:w="4068" w:type="dxa"/>
            <w:tcBorders>
              <w:top w:val="nil"/>
              <w:bottom w:val="nil"/>
            </w:tcBorders>
          </w:tcPr>
          <w:p w:rsidR="0021655A" w:rsidRPr="00986D2E" w:rsidRDefault="0021655A" w:rsidP="00215216">
            <w:pPr>
              <w:pStyle w:val="Tablelist"/>
            </w:pPr>
            <w:r w:rsidRPr="00986D2E">
              <w:t>Substation Refurbishment</w:t>
            </w:r>
          </w:p>
        </w:tc>
        <w:tc>
          <w:tcPr>
            <w:tcW w:w="990" w:type="dxa"/>
            <w:tcBorders>
              <w:top w:val="nil"/>
              <w:bottom w:val="nil"/>
            </w:tcBorders>
          </w:tcPr>
          <w:p w:rsidR="0021655A" w:rsidRPr="00986D2E" w:rsidRDefault="0021655A" w:rsidP="00A72201">
            <w:pPr>
              <w:pStyle w:val="Tablelist"/>
              <w:jc w:val="right"/>
            </w:pPr>
            <w:r w:rsidRPr="00986D2E">
              <w:t>568</w:t>
            </w:r>
            <w:r>
              <w:t>.0</w:t>
            </w:r>
          </w:p>
        </w:tc>
        <w:tc>
          <w:tcPr>
            <w:tcW w:w="1170" w:type="dxa"/>
            <w:tcBorders>
              <w:top w:val="nil"/>
              <w:bottom w:val="nil"/>
            </w:tcBorders>
          </w:tcPr>
          <w:p w:rsidR="0021655A" w:rsidRPr="00986D2E" w:rsidRDefault="0021655A" w:rsidP="00A72201">
            <w:pPr>
              <w:pStyle w:val="Tablelist"/>
              <w:jc w:val="right"/>
            </w:pPr>
            <w:r>
              <w:t>236.7</w:t>
            </w:r>
          </w:p>
        </w:tc>
        <w:tc>
          <w:tcPr>
            <w:tcW w:w="1260" w:type="dxa"/>
            <w:tcBorders>
              <w:top w:val="nil"/>
              <w:bottom w:val="nil"/>
            </w:tcBorders>
          </w:tcPr>
          <w:p w:rsidR="0021655A" w:rsidRPr="00986D2E" w:rsidRDefault="0021655A" w:rsidP="00A72201">
            <w:pPr>
              <w:pStyle w:val="Tablelist"/>
              <w:jc w:val="right"/>
            </w:pPr>
            <w:r>
              <w:t>47.3</w:t>
            </w:r>
          </w:p>
        </w:tc>
        <w:tc>
          <w:tcPr>
            <w:tcW w:w="1080" w:type="dxa"/>
            <w:tcBorders>
              <w:top w:val="nil"/>
              <w:bottom w:val="nil"/>
            </w:tcBorders>
          </w:tcPr>
          <w:p w:rsidR="0021655A" w:rsidRPr="00986D2E" w:rsidRDefault="0021655A" w:rsidP="00A72201">
            <w:pPr>
              <w:pStyle w:val="Tablelist"/>
              <w:jc w:val="right"/>
            </w:pPr>
            <w:r>
              <w:t>47.3</w:t>
            </w:r>
          </w:p>
        </w:tc>
        <w:tc>
          <w:tcPr>
            <w:tcW w:w="1008" w:type="dxa"/>
            <w:tcBorders>
              <w:top w:val="nil"/>
              <w:bottom w:val="nil"/>
            </w:tcBorders>
          </w:tcPr>
          <w:p w:rsidR="0021655A" w:rsidRPr="00986D2E" w:rsidRDefault="0021655A" w:rsidP="00A72201">
            <w:pPr>
              <w:pStyle w:val="Tablelist"/>
              <w:jc w:val="right"/>
            </w:pPr>
            <w:r>
              <w:t>47.3</w:t>
            </w:r>
          </w:p>
        </w:tc>
      </w:tr>
      <w:tr w:rsidR="0021655A" w:rsidRPr="00986D2E" w:rsidTr="000D46E1">
        <w:tc>
          <w:tcPr>
            <w:tcW w:w="4068" w:type="dxa"/>
            <w:tcBorders>
              <w:top w:val="nil"/>
              <w:bottom w:val="nil"/>
            </w:tcBorders>
          </w:tcPr>
          <w:p w:rsidR="0021655A" w:rsidRPr="00986D2E" w:rsidRDefault="0021655A" w:rsidP="00215216">
            <w:pPr>
              <w:pStyle w:val="Tablelist"/>
            </w:pPr>
            <w:r w:rsidRPr="00986D2E">
              <w:t>New Lines and Substations</w:t>
            </w:r>
          </w:p>
        </w:tc>
        <w:tc>
          <w:tcPr>
            <w:tcW w:w="990" w:type="dxa"/>
            <w:tcBorders>
              <w:top w:val="nil"/>
              <w:bottom w:val="nil"/>
            </w:tcBorders>
          </w:tcPr>
          <w:p w:rsidR="0021655A" w:rsidRPr="00986D2E" w:rsidRDefault="0021655A" w:rsidP="00A72201">
            <w:pPr>
              <w:pStyle w:val="Tablelist"/>
              <w:jc w:val="right"/>
            </w:pPr>
            <w:r w:rsidRPr="00986D2E">
              <w:t>495</w:t>
            </w:r>
            <w:r>
              <w:t>.4</w:t>
            </w:r>
          </w:p>
        </w:tc>
        <w:tc>
          <w:tcPr>
            <w:tcW w:w="1170" w:type="dxa"/>
            <w:tcBorders>
              <w:top w:val="nil"/>
              <w:bottom w:val="nil"/>
            </w:tcBorders>
          </w:tcPr>
          <w:p w:rsidR="0021655A" w:rsidRPr="00986D2E" w:rsidRDefault="0021655A" w:rsidP="00A72201">
            <w:pPr>
              <w:pStyle w:val="Tablelist"/>
              <w:jc w:val="right"/>
            </w:pPr>
            <w:r>
              <w:t>2059.2</w:t>
            </w:r>
          </w:p>
        </w:tc>
        <w:tc>
          <w:tcPr>
            <w:tcW w:w="1260" w:type="dxa"/>
            <w:tcBorders>
              <w:top w:val="nil"/>
              <w:bottom w:val="nil"/>
            </w:tcBorders>
          </w:tcPr>
          <w:p w:rsidR="0021655A" w:rsidRPr="00986D2E" w:rsidRDefault="0021655A" w:rsidP="00A72201">
            <w:pPr>
              <w:pStyle w:val="Tablelist"/>
              <w:jc w:val="right"/>
            </w:pPr>
            <w:r>
              <w:t>1434.3</w:t>
            </w:r>
          </w:p>
        </w:tc>
        <w:tc>
          <w:tcPr>
            <w:tcW w:w="1080" w:type="dxa"/>
            <w:tcBorders>
              <w:top w:val="nil"/>
              <w:bottom w:val="nil"/>
            </w:tcBorders>
          </w:tcPr>
          <w:p w:rsidR="0021655A" w:rsidRPr="00986D2E" w:rsidRDefault="0021655A" w:rsidP="00A72201">
            <w:pPr>
              <w:pStyle w:val="Tablelist"/>
              <w:jc w:val="right"/>
            </w:pPr>
            <w:r>
              <w:t>1270.8</w:t>
            </w:r>
          </w:p>
        </w:tc>
        <w:tc>
          <w:tcPr>
            <w:tcW w:w="1008" w:type="dxa"/>
            <w:tcBorders>
              <w:top w:val="nil"/>
              <w:bottom w:val="nil"/>
            </w:tcBorders>
          </w:tcPr>
          <w:p w:rsidR="0021655A" w:rsidRPr="00986D2E" w:rsidRDefault="0021655A" w:rsidP="00A72201">
            <w:pPr>
              <w:pStyle w:val="Tablelist"/>
              <w:jc w:val="right"/>
            </w:pPr>
            <w:r>
              <w:t>1085.6</w:t>
            </w:r>
          </w:p>
        </w:tc>
      </w:tr>
      <w:tr w:rsidR="0021655A" w:rsidRPr="00986D2E" w:rsidTr="000D46E1">
        <w:tc>
          <w:tcPr>
            <w:tcW w:w="4068" w:type="dxa"/>
            <w:tcBorders>
              <w:top w:val="nil"/>
              <w:bottom w:val="nil"/>
            </w:tcBorders>
          </w:tcPr>
          <w:p w:rsidR="0021655A" w:rsidRPr="00986D2E" w:rsidRDefault="0021655A" w:rsidP="00215216">
            <w:pPr>
              <w:pStyle w:val="Tablelist"/>
            </w:pPr>
            <w:r w:rsidRPr="00986D2E">
              <w:t>Land &amp; Buildings</w:t>
            </w:r>
          </w:p>
        </w:tc>
        <w:tc>
          <w:tcPr>
            <w:tcW w:w="990" w:type="dxa"/>
            <w:tcBorders>
              <w:top w:val="nil"/>
              <w:bottom w:val="nil"/>
            </w:tcBorders>
          </w:tcPr>
          <w:p w:rsidR="0021655A" w:rsidRPr="00986D2E" w:rsidRDefault="0021655A" w:rsidP="00A72201">
            <w:pPr>
              <w:pStyle w:val="Tablelist"/>
              <w:jc w:val="right"/>
            </w:pPr>
            <w:r w:rsidRPr="00986D2E">
              <w:t>104</w:t>
            </w:r>
            <w:r>
              <w:t>.0</w:t>
            </w:r>
          </w:p>
        </w:tc>
        <w:tc>
          <w:tcPr>
            <w:tcW w:w="1170" w:type="dxa"/>
            <w:tcBorders>
              <w:top w:val="nil"/>
              <w:bottom w:val="nil"/>
            </w:tcBorders>
          </w:tcPr>
          <w:p w:rsidR="0021655A" w:rsidRPr="00986D2E" w:rsidRDefault="0021655A" w:rsidP="00A72201">
            <w:pPr>
              <w:pStyle w:val="Tablelist"/>
              <w:jc w:val="right"/>
            </w:pPr>
            <w:r w:rsidRPr="00986D2E">
              <w:t>104</w:t>
            </w:r>
            <w:r>
              <w:t>.0</w:t>
            </w:r>
          </w:p>
        </w:tc>
        <w:tc>
          <w:tcPr>
            <w:tcW w:w="1260" w:type="dxa"/>
            <w:tcBorders>
              <w:top w:val="nil"/>
              <w:bottom w:val="nil"/>
            </w:tcBorders>
          </w:tcPr>
          <w:p w:rsidR="0021655A" w:rsidRPr="00986D2E" w:rsidRDefault="0021655A" w:rsidP="00A72201">
            <w:pPr>
              <w:pStyle w:val="Tablelist"/>
              <w:jc w:val="right"/>
            </w:pPr>
            <w:r w:rsidRPr="00986D2E">
              <w:t>20</w:t>
            </w:r>
            <w:r>
              <w:t>.0</w:t>
            </w:r>
          </w:p>
        </w:tc>
        <w:tc>
          <w:tcPr>
            <w:tcW w:w="1080" w:type="dxa"/>
            <w:tcBorders>
              <w:top w:val="nil"/>
              <w:bottom w:val="nil"/>
            </w:tcBorders>
          </w:tcPr>
          <w:p w:rsidR="0021655A" w:rsidRPr="00986D2E" w:rsidRDefault="0021655A" w:rsidP="00A72201">
            <w:pPr>
              <w:pStyle w:val="Tablelist"/>
              <w:jc w:val="right"/>
            </w:pPr>
            <w:r w:rsidRPr="00986D2E">
              <w:t>20</w:t>
            </w:r>
            <w:r>
              <w:t>.0</w:t>
            </w:r>
          </w:p>
        </w:tc>
        <w:tc>
          <w:tcPr>
            <w:tcW w:w="1008" w:type="dxa"/>
            <w:tcBorders>
              <w:top w:val="nil"/>
              <w:bottom w:val="nil"/>
            </w:tcBorders>
          </w:tcPr>
          <w:p w:rsidR="0021655A" w:rsidRPr="00986D2E" w:rsidRDefault="0021655A" w:rsidP="00A72201">
            <w:pPr>
              <w:pStyle w:val="Tablelist"/>
              <w:jc w:val="right"/>
            </w:pPr>
            <w:r w:rsidRPr="00986D2E">
              <w:t>20</w:t>
            </w:r>
            <w:r>
              <w:t>.0</w:t>
            </w:r>
          </w:p>
        </w:tc>
      </w:tr>
      <w:tr w:rsidR="0021655A" w:rsidRPr="00986D2E" w:rsidTr="000D46E1">
        <w:tc>
          <w:tcPr>
            <w:tcW w:w="4068" w:type="dxa"/>
            <w:tcBorders>
              <w:top w:val="nil"/>
              <w:bottom w:val="nil"/>
            </w:tcBorders>
          </w:tcPr>
          <w:p w:rsidR="0021655A" w:rsidRPr="00986D2E" w:rsidRDefault="0021655A" w:rsidP="00215216">
            <w:pPr>
              <w:pStyle w:val="Tablelist"/>
            </w:pPr>
            <w:r w:rsidRPr="00986D2E">
              <w:t>Office Tools, Furniture &amp; Equipment</w:t>
            </w:r>
          </w:p>
        </w:tc>
        <w:tc>
          <w:tcPr>
            <w:tcW w:w="990" w:type="dxa"/>
            <w:tcBorders>
              <w:top w:val="nil"/>
              <w:bottom w:val="nil"/>
            </w:tcBorders>
          </w:tcPr>
          <w:p w:rsidR="0021655A" w:rsidRPr="00986D2E" w:rsidRDefault="0021655A" w:rsidP="00A72201">
            <w:pPr>
              <w:pStyle w:val="Tablelist"/>
              <w:jc w:val="right"/>
            </w:pPr>
            <w:r w:rsidRPr="00986D2E">
              <w:t>1</w:t>
            </w:r>
            <w:r>
              <w:t>1.5</w:t>
            </w:r>
          </w:p>
        </w:tc>
        <w:tc>
          <w:tcPr>
            <w:tcW w:w="1170" w:type="dxa"/>
            <w:tcBorders>
              <w:top w:val="nil"/>
              <w:bottom w:val="nil"/>
            </w:tcBorders>
          </w:tcPr>
          <w:p w:rsidR="0021655A" w:rsidRPr="00986D2E" w:rsidRDefault="0021655A" w:rsidP="00A72201">
            <w:pPr>
              <w:pStyle w:val="Tablelist"/>
              <w:jc w:val="right"/>
            </w:pPr>
            <w:r w:rsidRPr="00986D2E">
              <w:t>12</w:t>
            </w:r>
            <w:r>
              <w:t>.4</w:t>
            </w:r>
          </w:p>
        </w:tc>
        <w:tc>
          <w:tcPr>
            <w:tcW w:w="1260" w:type="dxa"/>
            <w:tcBorders>
              <w:top w:val="nil"/>
              <w:bottom w:val="nil"/>
            </w:tcBorders>
          </w:tcPr>
          <w:p w:rsidR="0021655A" w:rsidRPr="00986D2E" w:rsidRDefault="0021655A" w:rsidP="00A72201">
            <w:pPr>
              <w:pStyle w:val="Tablelist"/>
              <w:jc w:val="right"/>
            </w:pPr>
            <w:r>
              <w:t>3.6</w:t>
            </w:r>
          </w:p>
        </w:tc>
        <w:tc>
          <w:tcPr>
            <w:tcW w:w="1080" w:type="dxa"/>
            <w:tcBorders>
              <w:top w:val="nil"/>
              <w:bottom w:val="nil"/>
            </w:tcBorders>
          </w:tcPr>
          <w:p w:rsidR="0021655A" w:rsidRPr="00986D2E" w:rsidRDefault="0021655A" w:rsidP="00A72201">
            <w:pPr>
              <w:pStyle w:val="Tablelist"/>
              <w:jc w:val="right"/>
            </w:pPr>
            <w:r>
              <w:t>3.3</w:t>
            </w:r>
          </w:p>
        </w:tc>
        <w:tc>
          <w:tcPr>
            <w:tcW w:w="1008" w:type="dxa"/>
            <w:tcBorders>
              <w:top w:val="nil"/>
              <w:bottom w:val="nil"/>
            </w:tcBorders>
          </w:tcPr>
          <w:p w:rsidR="0021655A" w:rsidRPr="00986D2E" w:rsidRDefault="0021655A" w:rsidP="00A72201">
            <w:pPr>
              <w:pStyle w:val="Tablelist"/>
              <w:jc w:val="right"/>
            </w:pPr>
            <w:r>
              <w:t>3.2</w:t>
            </w:r>
          </w:p>
        </w:tc>
      </w:tr>
      <w:tr w:rsidR="0021655A" w:rsidRPr="00986D2E" w:rsidTr="000D46E1">
        <w:tc>
          <w:tcPr>
            <w:tcW w:w="4068" w:type="dxa"/>
            <w:tcBorders>
              <w:top w:val="nil"/>
            </w:tcBorders>
          </w:tcPr>
          <w:p w:rsidR="0021655A" w:rsidRPr="00986D2E" w:rsidRDefault="0021655A" w:rsidP="00215216">
            <w:pPr>
              <w:pStyle w:val="Tablelist"/>
            </w:pPr>
            <w:r w:rsidRPr="00986D2E">
              <w:t>Motor Vehicles</w:t>
            </w:r>
          </w:p>
        </w:tc>
        <w:tc>
          <w:tcPr>
            <w:tcW w:w="990" w:type="dxa"/>
            <w:tcBorders>
              <w:top w:val="nil"/>
            </w:tcBorders>
          </w:tcPr>
          <w:p w:rsidR="0021655A" w:rsidRPr="00986D2E" w:rsidRDefault="0021655A" w:rsidP="00A72201">
            <w:pPr>
              <w:pStyle w:val="Tablelist"/>
              <w:jc w:val="right"/>
            </w:pPr>
            <w:r w:rsidRPr="00986D2E">
              <w:t>38</w:t>
            </w:r>
          </w:p>
        </w:tc>
        <w:tc>
          <w:tcPr>
            <w:tcW w:w="1170" w:type="dxa"/>
            <w:tcBorders>
              <w:top w:val="nil"/>
            </w:tcBorders>
          </w:tcPr>
          <w:p w:rsidR="0021655A" w:rsidRPr="00986D2E" w:rsidRDefault="0021655A" w:rsidP="00A72201">
            <w:pPr>
              <w:pStyle w:val="Tablelist"/>
              <w:jc w:val="right"/>
            </w:pPr>
            <w:r w:rsidRPr="00986D2E">
              <w:t>13</w:t>
            </w:r>
            <w:r>
              <w:t>.2</w:t>
            </w:r>
          </w:p>
        </w:tc>
        <w:tc>
          <w:tcPr>
            <w:tcW w:w="1260" w:type="dxa"/>
            <w:tcBorders>
              <w:top w:val="nil"/>
            </w:tcBorders>
          </w:tcPr>
          <w:p w:rsidR="0021655A" w:rsidRPr="00986D2E" w:rsidRDefault="0021655A" w:rsidP="00A72201">
            <w:pPr>
              <w:pStyle w:val="Tablelist"/>
              <w:jc w:val="right"/>
            </w:pPr>
            <w:r>
              <w:t>9.8</w:t>
            </w:r>
          </w:p>
        </w:tc>
        <w:tc>
          <w:tcPr>
            <w:tcW w:w="1080" w:type="dxa"/>
            <w:tcBorders>
              <w:top w:val="nil"/>
            </w:tcBorders>
          </w:tcPr>
          <w:p w:rsidR="0021655A" w:rsidRPr="00986D2E" w:rsidRDefault="0021655A" w:rsidP="00A72201">
            <w:pPr>
              <w:pStyle w:val="Tablelist"/>
              <w:jc w:val="right"/>
            </w:pPr>
            <w:r>
              <w:t>9.8</w:t>
            </w:r>
          </w:p>
        </w:tc>
        <w:tc>
          <w:tcPr>
            <w:tcW w:w="1008" w:type="dxa"/>
            <w:tcBorders>
              <w:top w:val="nil"/>
            </w:tcBorders>
          </w:tcPr>
          <w:p w:rsidR="0021655A" w:rsidRPr="00986D2E" w:rsidRDefault="0021655A" w:rsidP="00A72201">
            <w:pPr>
              <w:pStyle w:val="Tablelist"/>
              <w:jc w:val="right"/>
            </w:pPr>
            <w:r>
              <w:t>9.8</w:t>
            </w:r>
          </w:p>
        </w:tc>
      </w:tr>
      <w:tr w:rsidR="0021655A" w:rsidRPr="00986D2E" w:rsidTr="000D46E1">
        <w:tc>
          <w:tcPr>
            <w:tcW w:w="4068" w:type="dxa"/>
          </w:tcPr>
          <w:p w:rsidR="0021655A" w:rsidRPr="00BC00F7" w:rsidRDefault="0021655A" w:rsidP="00215216">
            <w:pPr>
              <w:pStyle w:val="Tablelist"/>
            </w:pPr>
            <w:r w:rsidRPr="00BC00F7">
              <w:t>TOTAL TSP CAPEX</w:t>
            </w:r>
          </w:p>
        </w:tc>
        <w:tc>
          <w:tcPr>
            <w:tcW w:w="990" w:type="dxa"/>
          </w:tcPr>
          <w:p w:rsidR="0021655A" w:rsidRPr="00BC00F7" w:rsidRDefault="0021655A" w:rsidP="00A72201">
            <w:pPr>
              <w:pStyle w:val="Tablelist"/>
              <w:jc w:val="right"/>
            </w:pPr>
            <w:r w:rsidRPr="00BC00F7">
              <w:t>1,216</w:t>
            </w:r>
            <w:r>
              <w:t>.9</w:t>
            </w:r>
          </w:p>
        </w:tc>
        <w:tc>
          <w:tcPr>
            <w:tcW w:w="1170" w:type="dxa"/>
          </w:tcPr>
          <w:p w:rsidR="0021655A" w:rsidRPr="00BC00F7" w:rsidRDefault="0021655A" w:rsidP="00A72201">
            <w:pPr>
              <w:pStyle w:val="Tablelist"/>
              <w:jc w:val="right"/>
            </w:pPr>
            <w:r w:rsidRPr="00BC00F7">
              <w:t>2,425</w:t>
            </w:r>
            <w:r>
              <w:t>.5</w:t>
            </w:r>
          </w:p>
        </w:tc>
        <w:tc>
          <w:tcPr>
            <w:tcW w:w="1260" w:type="dxa"/>
          </w:tcPr>
          <w:p w:rsidR="0021655A" w:rsidRPr="00BC00F7" w:rsidRDefault="0021655A" w:rsidP="00A72201">
            <w:pPr>
              <w:pStyle w:val="Tablelist"/>
              <w:jc w:val="right"/>
            </w:pPr>
            <w:r w:rsidRPr="00BC00F7">
              <w:t>1,515</w:t>
            </w:r>
            <w:r>
              <w:t>.0</w:t>
            </w:r>
          </w:p>
        </w:tc>
        <w:tc>
          <w:tcPr>
            <w:tcW w:w="1080" w:type="dxa"/>
          </w:tcPr>
          <w:p w:rsidR="0021655A" w:rsidRPr="00BC00F7" w:rsidRDefault="0021655A" w:rsidP="00A72201">
            <w:pPr>
              <w:pStyle w:val="Tablelist"/>
              <w:jc w:val="right"/>
            </w:pPr>
            <w:r w:rsidRPr="00BC00F7">
              <w:t>1,351</w:t>
            </w:r>
            <w:r>
              <w:t>.2</w:t>
            </w:r>
          </w:p>
        </w:tc>
        <w:tc>
          <w:tcPr>
            <w:tcW w:w="1008" w:type="dxa"/>
          </w:tcPr>
          <w:p w:rsidR="0021655A" w:rsidRPr="00BC00F7" w:rsidRDefault="0021655A" w:rsidP="00A72201">
            <w:pPr>
              <w:pStyle w:val="Tablelist"/>
              <w:jc w:val="right"/>
            </w:pPr>
            <w:r>
              <w:t>1,165.9</w:t>
            </w:r>
          </w:p>
        </w:tc>
      </w:tr>
      <w:tr w:rsidR="0021655A" w:rsidRPr="00986D2E" w:rsidTr="000D46E1">
        <w:tc>
          <w:tcPr>
            <w:tcW w:w="4068" w:type="dxa"/>
            <w:tcBorders>
              <w:bottom w:val="nil"/>
            </w:tcBorders>
          </w:tcPr>
          <w:p w:rsidR="0021655A" w:rsidRPr="00010861" w:rsidRDefault="0021655A" w:rsidP="00215216">
            <w:pPr>
              <w:pStyle w:val="Tablelist"/>
              <w:rPr>
                <w:u w:val="single"/>
              </w:rPr>
            </w:pPr>
            <w:r w:rsidRPr="00010861">
              <w:rPr>
                <w:u w:val="single"/>
              </w:rPr>
              <w:t>SO Capital Expenditure</w:t>
            </w:r>
          </w:p>
        </w:tc>
        <w:tc>
          <w:tcPr>
            <w:tcW w:w="990" w:type="dxa"/>
            <w:tcBorders>
              <w:bottom w:val="nil"/>
            </w:tcBorders>
          </w:tcPr>
          <w:p w:rsidR="0021655A" w:rsidRPr="00986D2E" w:rsidRDefault="0021655A" w:rsidP="00A72201">
            <w:pPr>
              <w:pStyle w:val="Tablelist"/>
              <w:jc w:val="right"/>
            </w:pPr>
          </w:p>
        </w:tc>
        <w:tc>
          <w:tcPr>
            <w:tcW w:w="1170" w:type="dxa"/>
            <w:tcBorders>
              <w:bottom w:val="nil"/>
            </w:tcBorders>
          </w:tcPr>
          <w:p w:rsidR="0021655A" w:rsidRPr="00986D2E" w:rsidRDefault="0021655A" w:rsidP="00A72201">
            <w:pPr>
              <w:pStyle w:val="Tablelist"/>
              <w:jc w:val="right"/>
            </w:pPr>
          </w:p>
        </w:tc>
        <w:tc>
          <w:tcPr>
            <w:tcW w:w="1260" w:type="dxa"/>
            <w:tcBorders>
              <w:bottom w:val="nil"/>
            </w:tcBorders>
          </w:tcPr>
          <w:p w:rsidR="0021655A" w:rsidRPr="00986D2E" w:rsidRDefault="0021655A" w:rsidP="00A72201">
            <w:pPr>
              <w:pStyle w:val="Tablelist"/>
              <w:jc w:val="right"/>
            </w:pPr>
          </w:p>
        </w:tc>
        <w:tc>
          <w:tcPr>
            <w:tcW w:w="1080" w:type="dxa"/>
            <w:tcBorders>
              <w:bottom w:val="nil"/>
            </w:tcBorders>
          </w:tcPr>
          <w:p w:rsidR="0021655A" w:rsidRPr="00986D2E" w:rsidRDefault="0021655A" w:rsidP="00A72201">
            <w:pPr>
              <w:pStyle w:val="Tablelist"/>
              <w:jc w:val="right"/>
            </w:pPr>
          </w:p>
        </w:tc>
        <w:tc>
          <w:tcPr>
            <w:tcW w:w="1008" w:type="dxa"/>
            <w:tcBorders>
              <w:bottom w:val="nil"/>
            </w:tcBorders>
          </w:tcPr>
          <w:p w:rsidR="0021655A" w:rsidRPr="00986D2E" w:rsidRDefault="0021655A" w:rsidP="00A72201">
            <w:pPr>
              <w:pStyle w:val="Tablelist"/>
              <w:jc w:val="right"/>
            </w:pPr>
          </w:p>
        </w:tc>
      </w:tr>
      <w:tr w:rsidR="0021655A" w:rsidRPr="00986D2E" w:rsidTr="000D46E1">
        <w:tc>
          <w:tcPr>
            <w:tcW w:w="4068" w:type="dxa"/>
            <w:tcBorders>
              <w:top w:val="nil"/>
              <w:bottom w:val="nil"/>
            </w:tcBorders>
          </w:tcPr>
          <w:p w:rsidR="0021655A" w:rsidRPr="00986D2E" w:rsidRDefault="0021655A" w:rsidP="00215216">
            <w:pPr>
              <w:pStyle w:val="Tablelist"/>
            </w:pPr>
            <w:r w:rsidRPr="00986D2E">
              <w:t>SCADA and Telecom</w:t>
            </w:r>
          </w:p>
        </w:tc>
        <w:tc>
          <w:tcPr>
            <w:tcW w:w="990" w:type="dxa"/>
            <w:tcBorders>
              <w:top w:val="nil"/>
              <w:bottom w:val="nil"/>
            </w:tcBorders>
          </w:tcPr>
          <w:p w:rsidR="0021655A" w:rsidRPr="00986D2E" w:rsidRDefault="0021655A" w:rsidP="00A72201">
            <w:pPr>
              <w:pStyle w:val="Tablelist"/>
              <w:jc w:val="right"/>
            </w:pPr>
            <w:r w:rsidRPr="00986D2E">
              <w:t>26.2</w:t>
            </w:r>
          </w:p>
        </w:tc>
        <w:tc>
          <w:tcPr>
            <w:tcW w:w="1170" w:type="dxa"/>
            <w:tcBorders>
              <w:top w:val="nil"/>
              <w:bottom w:val="nil"/>
            </w:tcBorders>
          </w:tcPr>
          <w:p w:rsidR="0021655A" w:rsidRPr="00986D2E" w:rsidRDefault="0021655A" w:rsidP="00A72201">
            <w:pPr>
              <w:pStyle w:val="Tablelist"/>
              <w:jc w:val="right"/>
            </w:pPr>
            <w:r w:rsidRPr="00986D2E">
              <w:t>33.7</w:t>
            </w:r>
          </w:p>
        </w:tc>
        <w:tc>
          <w:tcPr>
            <w:tcW w:w="1260" w:type="dxa"/>
            <w:tcBorders>
              <w:top w:val="nil"/>
              <w:bottom w:val="nil"/>
            </w:tcBorders>
          </w:tcPr>
          <w:p w:rsidR="0021655A" w:rsidRPr="00986D2E" w:rsidRDefault="0021655A" w:rsidP="00A72201">
            <w:pPr>
              <w:pStyle w:val="Tablelist"/>
              <w:jc w:val="right"/>
            </w:pPr>
            <w:r w:rsidRPr="00986D2E">
              <w:t>6.0</w:t>
            </w:r>
          </w:p>
        </w:tc>
        <w:tc>
          <w:tcPr>
            <w:tcW w:w="1080" w:type="dxa"/>
            <w:tcBorders>
              <w:top w:val="nil"/>
              <w:bottom w:val="nil"/>
            </w:tcBorders>
          </w:tcPr>
          <w:p w:rsidR="0021655A" w:rsidRPr="00986D2E" w:rsidRDefault="0021655A" w:rsidP="00A72201">
            <w:pPr>
              <w:pStyle w:val="Tablelist"/>
              <w:jc w:val="right"/>
            </w:pPr>
            <w:r w:rsidRPr="00986D2E">
              <w:t>6.0</w:t>
            </w:r>
          </w:p>
        </w:tc>
        <w:tc>
          <w:tcPr>
            <w:tcW w:w="1008" w:type="dxa"/>
            <w:tcBorders>
              <w:top w:val="nil"/>
              <w:bottom w:val="nil"/>
            </w:tcBorders>
          </w:tcPr>
          <w:p w:rsidR="0021655A" w:rsidRPr="00986D2E" w:rsidRDefault="0021655A" w:rsidP="00A72201">
            <w:pPr>
              <w:pStyle w:val="Tablelist"/>
              <w:jc w:val="right"/>
            </w:pPr>
            <w:r w:rsidRPr="00986D2E">
              <w:t>6.0</w:t>
            </w:r>
          </w:p>
        </w:tc>
      </w:tr>
      <w:tr w:rsidR="0021655A" w:rsidRPr="00986D2E" w:rsidTr="000D46E1">
        <w:tc>
          <w:tcPr>
            <w:tcW w:w="4068" w:type="dxa"/>
            <w:tcBorders>
              <w:top w:val="nil"/>
              <w:bottom w:val="nil"/>
            </w:tcBorders>
          </w:tcPr>
          <w:p w:rsidR="0021655A" w:rsidRPr="00986D2E" w:rsidRDefault="0021655A" w:rsidP="00215216">
            <w:pPr>
              <w:pStyle w:val="Tablelist"/>
            </w:pPr>
            <w:r w:rsidRPr="00986D2E">
              <w:t>Land &amp; Buildings</w:t>
            </w:r>
          </w:p>
        </w:tc>
        <w:tc>
          <w:tcPr>
            <w:tcW w:w="990" w:type="dxa"/>
            <w:tcBorders>
              <w:top w:val="nil"/>
              <w:bottom w:val="nil"/>
            </w:tcBorders>
          </w:tcPr>
          <w:p w:rsidR="0021655A" w:rsidRPr="00986D2E" w:rsidRDefault="0021655A" w:rsidP="00A72201">
            <w:pPr>
              <w:pStyle w:val="Tablelist"/>
              <w:jc w:val="right"/>
            </w:pPr>
            <w:r w:rsidRPr="00986D2E">
              <w:t>0</w:t>
            </w:r>
          </w:p>
        </w:tc>
        <w:tc>
          <w:tcPr>
            <w:tcW w:w="1170" w:type="dxa"/>
            <w:tcBorders>
              <w:top w:val="nil"/>
              <w:bottom w:val="nil"/>
            </w:tcBorders>
          </w:tcPr>
          <w:p w:rsidR="0021655A" w:rsidRPr="00986D2E" w:rsidRDefault="0021655A" w:rsidP="00A72201">
            <w:pPr>
              <w:pStyle w:val="Tablelist"/>
              <w:jc w:val="right"/>
            </w:pPr>
            <w:r w:rsidRPr="00986D2E">
              <w:t>40</w:t>
            </w:r>
            <w:r>
              <w:t>.0</w:t>
            </w:r>
          </w:p>
        </w:tc>
        <w:tc>
          <w:tcPr>
            <w:tcW w:w="1260" w:type="dxa"/>
            <w:tcBorders>
              <w:top w:val="nil"/>
              <w:bottom w:val="nil"/>
            </w:tcBorders>
          </w:tcPr>
          <w:p w:rsidR="0021655A" w:rsidRPr="00986D2E" w:rsidRDefault="0021655A" w:rsidP="00A72201">
            <w:pPr>
              <w:pStyle w:val="Tablelist"/>
              <w:jc w:val="right"/>
            </w:pPr>
            <w:r w:rsidRPr="00986D2E">
              <w:t>0</w:t>
            </w:r>
          </w:p>
        </w:tc>
        <w:tc>
          <w:tcPr>
            <w:tcW w:w="1080" w:type="dxa"/>
            <w:tcBorders>
              <w:top w:val="nil"/>
              <w:bottom w:val="nil"/>
            </w:tcBorders>
          </w:tcPr>
          <w:p w:rsidR="0021655A" w:rsidRPr="00986D2E" w:rsidRDefault="0021655A" w:rsidP="00A72201">
            <w:pPr>
              <w:pStyle w:val="Tablelist"/>
              <w:jc w:val="right"/>
            </w:pPr>
            <w:r w:rsidRPr="00986D2E">
              <w:t>0</w:t>
            </w:r>
          </w:p>
        </w:tc>
        <w:tc>
          <w:tcPr>
            <w:tcW w:w="1008" w:type="dxa"/>
            <w:tcBorders>
              <w:top w:val="nil"/>
              <w:bottom w:val="nil"/>
            </w:tcBorders>
          </w:tcPr>
          <w:p w:rsidR="0021655A" w:rsidRPr="00986D2E" w:rsidRDefault="0021655A" w:rsidP="00A72201">
            <w:pPr>
              <w:pStyle w:val="Tablelist"/>
              <w:jc w:val="right"/>
            </w:pPr>
            <w:r w:rsidRPr="00986D2E">
              <w:t>0</w:t>
            </w:r>
          </w:p>
        </w:tc>
      </w:tr>
      <w:tr w:rsidR="0021655A" w:rsidRPr="00986D2E" w:rsidTr="000D46E1">
        <w:tc>
          <w:tcPr>
            <w:tcW w:w="4068" w:type="dxa"/>
            <w:tcBorders>
              <w:top w:val="nil"/>
              <w:bottom w:val="nil"/>
            </w:tcBorders>
          </w:tcPr>
          <w:p w:rsidR="0021655A" w:rsidRPr="00986D2E" w:rsidRDefault="0021655A" w:rsidP="00215216">
            <w:pPr>
              <w:pStyle w:val="Tablelist"/>
            </w:pPr>
            <w:r w:rsidRPr="00986D2E">
              <w:t>Office Tools, Furniture &amp; Equipment</w:t>
            </w:r>
          </w:p>
        </w:tc>
        <w:tc>
          <w:tcPr>
            <w:tcW w:w="990" w:type="dxa"/>
            <w:tcBorders>
              <w:top w:val="nil"/>
              <w:bottom w:val="nil"/>
            </w:tcBorders>
          </w:tcPr>
          <w:p w:rsidR="0021655A" w:rsidRPr="00986D2E" w:rsidRDefault="0021655A" w:rsidP="00A72201">
            <w:pPr>
              <w:pStyle w:val="Tablelist"/>
              <w:jc w:val="right"/>
            </w:pPr>
            <w:r w:rsidRPr="00986D2E">
              <w:t>3.4</w:t>
            </w:r>
          </w:p>
        </w:tc>
        <w:tc>
          <w:tcPr>
            <w:tcW w:w="1170" w:type="dxa"/>
            <w:tcBorders>
              <w:top w:val="nil"/>
              <w:bottom w:val="nil"/>
            </w:tcBorders>
          </w:tcPr>
          <w:p w:rsidR="0021655A" w:rsidRPr="00986D2E" w:rsidRDefault="0021655A" w:rsidP="00A72201">
            <w:pPr>
              <w:pStyle w:val="Tablelist"/>
              <w:jc w:val="right"/>
            </w:pPr>
            <w:r w:rsidRPr="00986D2E">
              <w:t>2.0</w:t>
            </w:r>
          </w:p>
        </w:tc>
        <w:tc>
          <w:tcPr>
            <w:tcW w:w="1260" w:type="dxa"/>
            <w:tcBorders>
              <w:top w:val="nil"/>
              <w:bottom w:val="nil"/>
            </w:tcBorders>
          </w:tcPr>
          <w:p w:rsidR="0021655A" w:rsidRPr="00986D2E" w:rsidRDefault="0021655A" w:rsidP="00A72201">
            <w:pPr>
              <w:pStyle w:val="Tablelist"/>
              <w:jc w:val="right"/>
            </w:pPr>
            <w:r w:rsidRPr="00986D2E">
              <w:t>0.6</w:t>
            </w:r>
          </w:p>
        </w:tc>
        <w:tc>
          <w:tcPr>
            <w:tcW w:w="1080" w:type="dxa"/>
            <w:tcBorders>
              <w:top w:val="nil"/>
              <w:bottom w:val="nil"/>
            </w:tcBorders>
          </w:tcPr>
          <w:p w:rsidR="0021655A" w:rsidRPr="00986D2E" w:rsidRDefault="0021655A" w:rsidP="00A72201">
            <w:pPr>
              <w:pStyle w:val="Tablelist"/>
              <w:jc w:val="right"/>
            </w:pPr>
            <w:r w:rsidRPr="00986D2E">
              <w:t>0.6</w:t>
            </w:r>
          </w:p>
        </w:tc>
        <w:tc>
          <w:tcPr>
            <w:tcW w:w="1008" w:type="dxa"/>
            <w:tcBorders>
              <w:top w:val="nil"/>
              <w:bottom w:val="nil"/>
            </w:tcBorders>
          </w:tcPr>
          <w:p w:rsidR="0021655A" w:rsidRPr="00986D2E" w:rsidRDefault="0021655A" w:rsidP="00A72201">
            <w:pPr>
              <w:pStyle w:val="Tablelist"/>
              <w:jc w:val="right"/>
            </w:pPr>
            <w:r w:rsidRPr="00986D2E">
              <w:t>0.6</w:t>
            </w:r>
          </w:p>
        </w:tc>
      </w:tr>
      <w:tr w:rsidR="0021655A" w:rsidRPr="00986D2E" w:rsidTr="000D46E1">
        <w:tc>
          <w:tcPr>
            <w:tcW w:w="4068" w:type="dxa"/>
            <w:tcBorders>
              <w:top w:val="nil"/>
            </w:tcBorders>
          </w:tcPr>
          <w:p w:rsidR="0021655A" w:rsidRPr="00986D2E" w:rsidRDefault="0021655A" w:rsidP="00215216">
            <w:pPr>
              <w:pStyle w:val="Tablelist"/>
            </w:pPr>
            <w:r w:rsidRPr="00986D2E">
              <w:t>Motor Vehicles</w:t>
            </w:r>
          </w:p>
        </w:tc>
        <w:tc>
          <w:tcPr>
            <w:tcW w:w="990" w:type="dxa"/>
            <w:tcBorders>
              <w:top w:val="nil"/>
            </w:tcBorders>
          </w:tcPr>
          <w:p w:rsidR="0021655A" w:rsidRPr="00986D2E" w:rsidRDefault="0021655A" w:rsidP="00A72201">
            <w:pPr>
              <w:pStyle w:val="Tablelist"/>
              <w:jc w:val="right"/>
            </w:pPr>
            <w:r w:rsidRPr="00986D2E">
              <w:t>1.1</w:t>
            </w:r>
          </w:p>
        </w:tc>
        <w:tc>
          <w:tcPr>
            <w:tcW w:w="1170" w:type="dxa"/>
            <w:tcBorders>
              <w:top w:val="nil"/>
            </w:tcBorders>
          </w:tcPr>
          <w:p w:rsidR="0021655A" w:rsidRPr="00986D2E" w:rsidRDefault="0021655A" w:rsidP="00A72201">
            <w:pPr>
              <w:pStyle w:val="Tablelist"/>
              <w:jc w:val="right"/>
            </w:pPr>
            <w:r w:rsidRPr="00986D2E">
              <w:t>1.5</w:t>
            </w:r>
          </w:p>
        </w:tc>
        <w:tc>
          <w:tcPr>
            <w:tcW w:w="1260" w:type="dxa"/>
            <w:tcBorders>
              <w:top w:val="nil"/>
            </w:tcBorders>
          </w:tcPr>
          <w:p w:rsidR="0021655A" w:rsidRPr="00986D2E" w:rsidRDefault="0021655A" w:rsidP="00A72201">
            <w:pPr>
              <w:pStyle w:val="Tablelist"/>
              <w:jc w:val="right"/>
            </w:pPr>
            <w:r w:rsidRPr="00986D2E">
              <w:t>1.9</w:t>
            </w:r>
          </w:p>
        </w:tc>
        <w:tc>
          <w:tcPr>
            <w:tcW w:w="1080" w:type="dxa"/>
            <w:tcBorders>
              <w:top w:val="nil"/>
            </w:tcBorders>
          </w:tcPr>
          <w:p w:rsidR="0021655A" w:rsidRPr="00986D2E" w:rsidRDefault="0021655A" w:rsidP="00A72201">
            <w:pPr>
              <w:pStyle w:val="Tablelist"/>
              <w:jc w:val="right"/>
            </w:pPr>
            <w:r w:rsidRPr="00986D2E">
              <w:t>2.3</w:t>
            </w:r>
          </w:p>
        </w:tc>
        <w:tc>
          <w:tcPr>
            <w:tcW w:w="1008" w:type="dxa"/>
            <w:tcBorders>
              <w:top w:val="nil"/>
            </w:tcBorders>
          </w:tcPr>
          <w:p w:rsidR="0021655A" w:rsidRPr="00986D2E" w:rsidRDefault="0021655A" w:rsidP="00A72201">
            <w:pPr>
              <w:pStyle w:val="Tablelist"/>
              <w:jc w:val="right"/>
            </w:pPr>
            <w:r w:rsidRPr="00986D2E">
              <w:t>2.7</w:t>
            </w:r>
          </w:p>
        </w:tc>
      </w:tr>
      <w:tr w:rsidR="0021655A" w:rsidRPr="00BC00F7" w:rsidTr="000D46E1">
        <w:tc>
          <w:tcPr>
            <w:tcW w:w="4068" w:type="dxa"/>
            <w:tcBorders>
              <w:bottom w:val="single" w:sz="4" w:space="0" w:color="auto"/>
            </w:tcBorders>
          </w:tcPr>
          <w:p w:rsidR="0021655A" w:rsidRPr="00BC00F7" w:rsidRDefault="0021655A" w:rsidP="00215216">
            <w:pPr>
              <w:pStyle w:val="Tablelist"/>
            </w:pPr>
            <w:r w:rsidRPr="00BC00F7">
              <w:t>TOTAL SO CAPEX</w:t>
            </w:r>
          </w:p>
        </w:tc>
        <w:tc>
          <w:tcPr>
            <w:tcW w:w="990" w:type="dxa"/>
            <w:tcBorders>
              <w:bottom w:val="single" w:sz="4" w:space="0" w:color="auto"/>
            </w:tcBorders>
          </w:tcPr>
          <w:p w:rsidR="0021655A" w:rsidRPr="00BC00F7" w:rsidRDefault="0021655A" w:rsidP="00A72201">
            <w:pPr>
              <w:pStyle w:val="Tablelist"/>
              <w:jc w:val="right"/>
            </w:pPr>
            <w:r>
              <w:t>30.7</w:t>
            </w:r>
          </w:p>
        </w:tc>
        <w:tc>
          <w:tcPr>
            <w:tcW w:w="1170" w:type="dxa"/>
            <w:tcBorders>
              <w:bottom w:val="single" w:sz="4" w:space="0" w:color="auto"/>
            </w:tcBorders>
          </w:tcPr>
          <w:p w:rsidR="0021655A" w:rsidRPr="00BC00F7" w:rsidRDefault="0021655A" w:rsidP="00A72201">
            <w:pPr>
              <w:pStyle w:val="Tablelist"/>
              <w:jc w:val="right"/>
            </w:pPr>
            <w:r>
              <w:t>77.2</w:t>
            </w:r>
          </w:p>
        </w:tc>
        <w:tc>
          <w:tcPr>
            <w:tcW w:w="1260" w:type="dxa"/>
            <w:tcBorders>
              <w:bottom w:val="single" w:sz="4" w:space="0" w:color="auto"/>
            </w:tcBorders>
          </w:tcPr>
          <w:p w:rsidR="0021655A" w:rsidRPr="00BC00F7" w:rsidRDefault="0021655A" w:rsidP="00A72201">
            <w:pPr>
              <w:pStyle w:val="Tablelist"/>
              <w:jc w:val="right"/>
            </w:pPr>
            <w:r>
              <w:t>8.5</w:t>
            </w:r>
          </w:p>
        </w:tc>
        <w:tc>
          <w:tcPr>
            <w:tcW w:w="1080" w:type="dxa"/>
            <w:tcBorders>
              <w:bottom w:val="single" w:sz="4" w:space="0" w:color="auto"/>
            </w:tcBorders>
          </w:tcPr>
          <w:p w:rsidR="0021655A" w:rsidRPr="00BC00F7" w:rsidRDefault="0021655A" w:rsidP="00A72201">
            <w:pPr>
              <w:pStyle w:val="Tablelist"/>
              <w:jc w:val="right"/>
            </w:pPr>
            <w:r>
              <w:t>8.9</w:t>
            </w:r>
          </w:p>
        </w:tc>
        <w:tc>
          <w:tcPr>
            <w:tcW w:w="1008" w:type="dxa"/>
            <w:tcBorders>
              <w:bottom w:val="single" w:sz="4" w:space="0" w:color="auto"/>
            </w:tcBorders>
          </w:tcPr>
          <w:p w:rsidR="0021655A" w:rsidRPr="00BC00F7" w:rsidRDefault="0021655A" w:rsidP="00A72201">
            <w:pPr>
              <w:pStyle w:val="Tablelist"/>
              <w:jc w:val="right"/>
            </w:pPr>
            <w:r>
              <w:t>9.3</w:t>
            </w:r>
          </w:p>
        </w:tc>
      </w:tr>
      <w:tr w:rsidR="0021655A" w:rsidRPr="00986D2E" w:rsidTr="000D46E1">
        <w:tc>
          <w:tcPr>
            <w:tcW w:w="4068" w:type="dxa"/>
            <w:tcBorders>
              <w:bottom w:val="nil"/>
            </w:tcBorders>
          </w:tcPr>
          <w:p w:rsidR="0021655A" w:rsidRPr="00010861" w:rsidRDefault="0021655A" w:rsidP="00215216">
            <w:pPr>
              <w:pStyle w:val="Tablelist"/>
              <w:rPr>
                <w:u w:val="single"/>
              </w:rPr>
            </w:pPr>
            <w:r w:rsidRPr="00010861">
              <w:rPr>
                <w:u w:val="single"/>
              </w:rPr>
              <w:t>MO Capital Expenditure</w:t>
            </w:r>
          </w:p>
        </w:tc>
        <w:tc>
          <w:tcPr>
            <w:tcW w:w="990" w:type="dxa"/>
            <w:tcBorders>
              <w:bottom w:val="nil"/>
            </w:tcBorders>
          </w:tcPr>
          <w:p w:rsidR="0021655A" w:rsidRPr="00986D2E" w:rsidRDefault="0021655A" w:rsidP="00A72201">
            <w:pPr>
              <w:pStyle w:val="Tablelist"/>
              <w:jc w:val="right"/>
            </w:pPr>
          </w:p>
        </w:tc>
        <w:tc>
          <w:tcPr>
            <w:tcW w:w="1170" w:type="dxa"/>
            <w:tcBorders>
              <w:bottom w:val="nil"/>
            </w:tcBorders>
          </w:tcPr>
          <w:p w:rsidR="0021655A" w:rsidRPr="00986D2E" w:rsidRDefault="0021655A" w:rsidP="00A72201">
            <w:pPr>
              <w:pStyle w:val="Tablelist"/>
              <w:jc w:val="right"/>
            </w:pPr>
          </w:p>
        </w:tc>
        <w:tc>
          <w:tcPr>
            <w:tcW w:w="1260" w:type="dxa"/>
            <w:tcBorders>
              <w:bottom w:val="nil"/>
            </w:tcBorders>
          </w:tcPr>
          <w:p w:rsidR="0021655A" w:rsidRPr="00986D2E" w:rsidRDefault="0021655A" w:rsidP="00A72201">
            <w:pPr>
              <w:pStyle w:val="Tablelist"/>
              <w:jc w:val="right"/>
            </w:pPr>
          </w:p>
        </w:tc>
        <w:tc>
          <w:tcPr>
            <w:tcW w:w="1080" w:type="dxa"/>
            <w:tcBorders>
              <w:bottom w:val="nil"/>
            </w:tcBorders>
          </w:tcPr>
          <w:p w:rsidR="0021655A" w:rsidRPr="00986D2E" w:rsidRDefault="0021655A" w:rsidP="00A72201">
            <w:pPr>
              <w:pStyle w:val="Tablelist"/>
              <w:jc w:val="right"/>
            </w:pPr>
          </w:p>
        </w:tc>
        <w:tc>
          <w:tcPr>
            <w:tcW w:w="1008" w:type="dxa"/>
            <w:tcBorders>
              <w:bottom w:val="nil"/>
            </w:tcBorders>
          </w:tcPr>
          <w:p w:rsidR="0021655A" w:rsidRPr="00986D2E" w:rsidRDefault="0021655A" w:rsidP="00A72201">
            <w:pPr>
              <w:pStyle w:val="Tablelist"/>
              <w:jc w:val="right"/>
            </w:pPr>
          </w:p>
        </w:tc>
      </w:tr>
      <w:tr w:rsidR="0021655A" w:rsidRPr="00986D2E" w:rsidTr="000D46E1">
        <w:tc>
          <w:tcPr>
            <w:tcW w:w="4068" w:type="dxa"/>
            <w:tcBorders>
              <w:top w:val="nil"/>
              <w:bottom w:val="nil"/>
            </w:tcBorders>
          </w:tcPr>
          <w:p w:rsidR="0021655A" w:rsidRPr="00986D2E" w:rsidRDefault="0021655A" w:rsidP="00215216">
            <w:pPr>
              <w:pStyle w:val="Tablelist"/>
            </w:pPr>
            <w:r w:rsidRPr="00986D2E">
              <w:t>Land &amp; Buildings</w:t>
            </w:r>
          </w:p>
        </w:tc>
        <w:tc>
          <w:tcPr>
            <w:tcW w:w="990" w:type="dxa"/>
            <w:tcBorders>
              <w:top w:val="nil"/>
              <w:bottom w:val="nil"/>
            </w:tcBorders>
          </w:tcPr>
          <w:p w:rsidR="0021655A" w:rsidRPr="00986D2E" w:rsidRDefault="0021655A" w:rsidP="00A72201">
            <w:pPr>
              <w:pStyle w:val="Tablelist"/>
              <w:jc w:val="right"/>
            </w:pPr>
            <w:r w:rsidRPr="00986D2E">
              <w:t>0.0</w:t>
            </w:r>
          </w:p>
        </w:tc>
        <w:tc>
          <w:tcPr>
            <w:tcW w:w="1170" w:type="dxa"/>
            <w:tcBorders>
              <w:top w:val="nil"/>
              <w:bottom w:val="nil"/>
            </w:tcBorders>
          </w:tcPr>
          <w:p w:rsidR="0021655A" w:rsidRPr="00986D2E" w:rsidRDefault="0021655A" w:rsidP="00A72201">
            <w:pPr>
              <w:pStyle w:val="Tablelist"/>
              <w:jc w:val="right"/>
            </w:pPr>
            <w:r w:rsidRPr="00986D2E">
              <w:t>0.0</w:t>
            </w:r>
          </w:p>
        </w:tc>
        <w:tc>
          <w:tcPr>
            <w:tcW w:w="1260" w:type="dxa"/>
            <w:tcBorders>
              <w:top w:val="nil"/>
              <w:bottom w:val="nil"/>
            </w:tcBorders>
          </w:tcPr>
          <w:p w:rsidR="0021655A" w:rsidRPr="00986D2E" w:rsidRDefault="0021655A" w:rsidP="00A72201">
            <w:pPr>
              <w:pStyle w:val="Tablelist"/>
              <w:jc w:val="right"/>
            </w:pPr>
            <w:r w:rsidRPr="00986D2E">
              <w:t>0.0</w:t>
            </w:r>
          </w:p>
        </w:tc>
        <w:tc>
          <w:tcPr>
            <w:tcW w:w="1080" w:type="dxa"/>
            <w:tcBorders>
              <w:top w:val="nil"/>
              <w:bottom w:val="nil"/>
            </w:tcBorders>
          </w:tcPr>
          <w:p w:rsidR="0021655A" w:rsidRPr="00986D2E" w:rsidRDefault="0021655A" w:rsidP="00A72201">
            <w:pPr>
              <w:pStyle w:val="Tablelist"/>
              <w:jc w:val="right"/>
            </w:pPr>
            <w:r w:rsidRPr="00986D2E">
              <w:t>0.0</w:t>
            </w:r>
          </w:p>
        </w:tc>
        <w:tc>
          <w:tcPr>
            <w:tcW w:w="1008" w:type="dxa"/>
            <w:tcBorders>
              <w:top w:val="nil"/>
              <w:bottom w:val="nil"/>
            </w:tcBorders>
          </w:tcPr>
          <w:p w:rsidR="0021655A" w:rsidRPr="00986D2E" w:rsidRDefault="0021655A" w:rsidP="00A72201">
            <w:pPr>
              <w:pStyle w:val="Tablelist"/>
              <w:jc w:val="right"/>
            </w:pPr>
            <w:r w:rsidRPr="00986D2E">
              <w:t>0.0</w:t>
            </w:r>
          </w:p>
        </w:tc>
      </w:tr>
      <w:tr w:rsidR="0021655A" w:rsidRPr="00986D2E" w:rsidTr="000D46E1">
        <w:tc>
          <w:tcPr>
            <w:tcW w:w="4068" w:type="dxa"/>
            <w:tcBorders>
              <w:top w:val="nil"/>
              <w:bottom w:val="nil"/>
            </w:tcBorders>
          </w:tcPr>
          <w:p w:rsidR="0021655A" w:rsidRPr="00986D2E" w:rsidRDefault="0021655A" w:rsidP="00215216">
            <w:pPr>
              <w:pStyle w:val="Tablelist"/>
            </w:pPr>
            <w:r w:rsidRPr="00986D2E">
              <w:t>Office Tools, Furniture &amp; Equipment</w:t>
            </w:r>
          </w:p>
        </w:tc>
        <w:tc>
          <w:tcPr>
            <w:tcW w:w="990" w:type="dxa"/>
            <w:tcBorders>
              <w:top w:val="nil"/>
              <w:bottom w:val="nil"/>
            </w:tcBorders>
          </w:tcPr>
          <w:p w:rsidR="0021655A" w:rsidRPr="00986D2E" w:rsidRDefault="0021655A" w:rsidP="00A72201">
            <w:pPr>
              <w:pStyle w:val="Tablelist"/>
              <w:jc w:val="right"/>
            </w:pPr>
            <w:r w:rsidRPr="00986D2E">
              <w:t>1.5</w:t>
            </w:r>
          </w:p>
        </w:tc>
        <w:tc>
          <w:tcPr>
            <w:tcW w:w="1170" w:type="dxa"/>
            <w:tcBorders>
              <w:top w:val="nil"/>
              <w:bottom w:val="nil"/>
            </w:tcBorders>
          </w:tcPr>
          <w:p w:rsidR="0021655A" w:rsidRPr="00986D2E" w:rsidRDefault="0021655A" w:rsidP="00A72201">
            <w:pPr>
              <w:pStyle w:val="Tablelist"/>
              <w:jc w:val="right"/>
            </w:pPr>
            <w:r w:rsidRPr="00986D2E">
              <w:t>11.6</w:t>
            </w:r>
          </w:p>
        </w:tc>
        <w:tc>
          <w:tcPr>
            <w:tcW w:w="1260" w:type="dxa"/>
            <w:tcBorders>
              <w:top w:val="nil"/>
              <w:bottom w:val="nil"/>
            </w:tcBorders>
          </w:tcPr>
          <w:p w:rsidR="0021655A" w:rsidRPr="00986D2E" w:rsidRDefault="0021655A" w:rsidP="00A72201">
            <w:pPr>
              <w:pStyle w:val="Tablelist"/>
              <w:jc w:val="right"/>
            </w:pPr>
            <w:r w:rsidRPr="00986D2E">
              <w:t>0.9</w:t>
            </w:r>
          </w:p>
        </w:tc>
        <w:tc>
          <w:tcPr>
            <w:tcW w:w="1080" w:type="dxa"/>
            <w:tcBorders>
              <w:top w:val="nil"/>
              <w:bottom w:val="nil"/>
            </w:tcBorders>
          </w:tcPr>
          <w:p w:rsidR="0021655A" w:rsidRPr="00986D2E" w:rsidRDefault="0021655A" w:rsidP="00A72201">
            <w:pPr>
              <w:pStyle w:val="Tablelist"/>
              <w:jc w:val="right"/>
            </w:pPr>
            <w:r w:rsidRPr="00986D2E">
              <w:t>0.5</w:t>
            </w:r>
          </w:p>
        </w:tc>
        <w:tc>
          <w:tcPr>
            <w:tcW w:w="1008" w:type="dxa"/>
            <w:tcBorders>
              <w:top w:val="nil"/>
              <w:bottom w:val="nil"/>
            </w:tcBorders>
          </w:tcPr>
          <w:p w:rsidR="0021655A" w:rsidRPr="00986D2E" w:rsidRDefault="0021655A" w:rsidP="00A72201">
            <w:pPr>
              <w:pStyle w:val="Tablelist"/>
              <w:jc w:val="right"/>
            </w:pPr>
            <w:r w:rsidRPr="00986D2E">
              <w:t>0.5</w:t>
            </w:r>
          </w:p>
        </w:tc>
      </w:tr>
      <w:tr w:rsidR="0021655A" w:rsidRPr="00986D2E" w:rsidTr="000D46E1">
        <w:tc>
          <w:tcPr>
            <w:tcW w:w="4068" w:type="dxa"/>
            <w:tcBorders>
              <w:top w:val="nil"/>
            </w:tcBorders>
          </w:tcPr>
          <w:p w:rsidR="0021655A" w:rsidRPr="00986D2E" w:rsidRDefault="0021655A" w:rsidP="00215216">
            <w:pPr>
              <w:pStyle w:val="Tablelist"/>
            </w:pPr>
            <w:r w:rsidRPr="00986D2E">
              <w:t>Motor Vehicles</w:t>
            </w:r>
          </w:p>
        </w:tc>
        <w:tc>
          <w:tcPr>
            <w:tcW w:w="990" w:type="dxa"/>
            <w:tcBorders>
              <w:top w:val="nil"/>
            </w:tcBorders>
          </w:tcPr>
          <w:p w:rsidR="0021655A" w:rsidRPr="00986D2E" w:rsidRDefault="0021655A" w:rsidP="00A72201">
            <w:pPr>
              <w:pStyle w:val="Tablelist"/>
              <w:jc w:val="right"/>
            </w:pPr>
            <w:r w:rsidRPr="00986D2E">
              <w:t>0.7</w:t>
            </w:r>
          </w:p>
        </w:tc>
        <w:tc>
          <w:tcPr>
            <w:tcW w:w="1170" w:type="dxa"/>
            <w:tcBorders>
              <w:top w:val="nil"/>
            </w:tcBorders>
          </w:tcPr>
          <w:p w:rsidR="0021655A" w:rsidRPr="00986D2E" w:rsidRDefault="0021655A" w:rsidP="00A72201">
            <w:pPr>
              <w:pStyle w:val="Tablelist"/>
              <w:jc w:val="right"/>
            </w:pPr>
            <w:r w:rsidRPr="00986D2E">
              <w:t>0.7</w:t>
            </w:r>
          </w:p>
        </w:tc>
        <w:tc>
          <w:tcPr>
            <w:tcW w:w="1260" w:type="dxa"/>
            <w:tcBorders>
              <w:top w:val="nil"/>
            </w:tcBorders>
          </w:tcPr>
          <w:p w:rsidR="0021655A" w:rsidRPr="00986D2E" w:rsidRDefault="0021655A" w:rsidP="00A72201">
            <w:pPr>
              <w:pStyle w:val="Tablelist"/>
              <w:jc w:val="right"/>
            </w:pPr>
            <w:r w:rsidRPr="00986D2E">
              <w:t>0.7</w:t>
            </w:r>
          </w:p>
        </w:tc>
        <w:tc>
          <w:tcPr>
            <w:tcW w:w="1080" w:type="dxa"/>
            <w:tcBorders>
              <w:top w:val="nil"/>
            </w:tcBorders>
          </w:tcPr>
          <w:p w:rsidR="0021655A" w:rsidRPr="00986D2E" w:rsidRDefault="0021655A" w:rsidP="00A72201">
            <w:pPr>
              <w:pStyle w:val="Tablelist"/>
              <w:jc w:val="right"/>
            </w:pPr>
            <w:r w:rsidRPr="00986D2E">
              <w:t>0.7</w:t>
            </w:r>
          </w:p>
        </w:tc>
        <w:tc>
          <w:tcPr>
            <w:tcW w:w="1008" w:type="dxa"/>
            <w:tcBorders>
              <w:top w:val="nil"/>
            </w:tcBorders>
          </w:tcPr>
          <w:p w:rsidR="0021655A" w:rsidRPr="00986D2E" w:rsidRDefault="0021655A" w:rsidP="00A72201">
            <w:pPr>
              <w:pStyle w:val="Tablelist"/>
              <w:jc w:val="right"/>
            </w:pPr>
            <w:r w:rsidRPr="00986D2E">
              <w:t>0.7</w:t>
            </w:r>
          </w:p>
        </w:tc>
      </w:tr>
      <w:tr w:rsidR="0021655A" w:rsidRPr="00627F6B" w:rsidTr="000D46E1">
        <w:tc>
          <w:tcPr>
            <w:tcW w:w="4068" w:type="dxa"/>
          </w:tcPr>
          <w:p w:rsidR="0021655A" w:rsidRPr="00627F6B" w:rsidRDefault="0021655A" w:rsidP="00215216">
            <w:pPr>
              <w:pStyle w:val="Tablelist"/>
            </w:pPr>
            <w:r w:rsidRPr="00627F6B">
              <w:t>TOTAL MO CAPEX</w:t>
            </w:r>
          </w:p>
        </w:tc>
        <w:tc>
          <w:tcPr>
            <w:tcW w:w="990" w:type="dxa"/>
          </w:tcPr>
          <w:p w:rsidR="0021655A" w:rsidRPr="00627F6B" w:rsidRDefault="0021655A" w:rsidP="00A72201">
            <w:pPr>
              <w:pStyle w:val="Tablelist"/>
              <w:jc w:val="right"/>
            </w:pPr>
            <w:r w:rsidRPr="00627F6B">
              <w:t>2.2</w:t>
            </w:r>
          </w:p>
        </w:tc>
        <w:tc>
          <w:tcPr>
            <w:tcW w:w="1170" w:type="dxa"/>
          </w:tcPr>
          <w:p w:rsidR="0021655A" w:rsidRPr="00627F6B" w:rsidRDefault="0021655A" w:rsidP="00A72201">
            <w:pPr>
              <w:pStyle w:val="Tablelist"/>
              <w:jc w:val="right"/>
            </w:pPr>
            <w:r w:rsidRPr="00627F6B">
              <w:t>12.3</w:t>
            </w:r>
          </w:p>
        </w:tc>
        <w:tc>
          <w:tcPr>
            <w:tcW w:w="1260" w:type="dxa"/>
          </w:tcPr>
          <w:p w:rsidR="0021655A" w:rsidRPr="00627F6B" w:rsidRDefault="0021655A" w:rsidP="00A72201">
            <w:pPr>
              <w:pStyle w:val="Tablelist"/>
              <w:jc w:val="right"/>
            </w:pPr>
            <w:r w:rsidRPr="00627F6B">
              <w:t>1.6</w:t>
            </w:r>
          </w:p>
        </w:tc>
        <w:tc>
          <w:tcPr>
            <w:tcW w:w="1080" w:type="dxa"/>
          </w:tcPr>
          <w:p w:rsidR="0021655A" w:rsidRPr="00627F6B" w:rsidRDefault="0021655A" w:rsidP="00A72201">
            <w:pPr>
              <w:pStyle w:val="Tablelist"/>
              <w:jc w:val="right"/>
            </w:pPr>
            <w:r w:rsidRPr="00627F6B">
              <w:t>1.2</w:t>
            </w:r>
          </w:p>
        </w:tc>
        <w:tc>
          <w:tcPr>
            <w:tcW w:w="1008" w:type="dxa"/>
          </w:tcPr>
          <w:p w:rsidR="0021655A" w:rsidRPr="00627F6B" w:rsidRDefault="0021655A" w:rsidP="00A72201">
            <w:pPr>
              <w:pStyle w:val="Tablelist"/>
              <w:jc w:val="right"/>
            </w:pPr>
            <w:r w:rsidRPr="00627F6B">
              <w:t>1.2</w:t>
            </w:r>
          </w:p>
        </w:tc>
      </w:tr>
      <w:tr w:rsidR="0021655A" w:rsidRPr="00627F6B" w:rsidTr="000D46E1">
        <w:tc>
          <w:tcPr>
            <w:tcW w:w="4068" w:type="dxa"/>
            <w:shd w:val="pct10" w:color="auto" w:fill="auto"/>
          </w:tcPr>
          <w:p w:rsidR="0021655A" w:rsidRPr="00627F6B" w:rsidRDefault="0021655A" w:rsidP="00215216">
            <w:pPr>
              <w:pStyle w:val="Tablelist"/>
            </w:pPr>
            <w:r w:rsidRPr="00627F6B">
              <w:t>T</w:t>
            </w:r>
            <w:r>
              <w:t>OTAL</w:t>
            </w:r>
            <w:r w:rsidRPr="00627F6B">
              <w:t xml:space="preserve"> CAPEX</w:t>
            </w:r>
          </w:p>
        </w:tc>
        <w:tc>
          <w:tcPr>
            <w:tcW w:w="990" w:type="dxa"/>
            <w:shd w:val="pct10" w:color="auto" w:fill="auto"/>
          </w:tcPr>
          <w:p w:rsidR="0021655A" w:rsidRPr="00627F6B" w:rsidRDefault="0021655A" w:rsidP="00A72201">
            <w:pPr>
              <w:pStyle w:val="Tablelist"/>
              <w:jc w:val="right"/>
            </w:pPr>
            <w:r w:rsidRPr="00627F6B">
              <w:t>1,249.8</w:t>
            </w:r>
          </w:p>
        </w:tc>
        <w:tc>
          <w:tcPr>
            <w:tcW w:w="1170" w:type="dxa"/>
            <w:shd w:val="pct10" w:color="auto" w:fill="auto"/>
          </w:tcPr>
          <w:p w:rsidR="0021655A" w:rsidRPr="00627F6B" w:rsidRDefault="0021655A" w:rsidP="00A72201">
            <w:pPr>
              <w:pStyle w:val="Tablelist"/>
              <w:jc w:val="right"/>
            </w:pPr>
            <w:r>
              <w:t>2,514.9</w:t>
            </w:r>
          </w:p>
        </w:tc>
        <w:tc>
          <w:tcPr>
            <w:tcW w:w="1260" w:type="dxa"/>
            <w:shd w:val="pct10" w:color="auto" w:fill="auto"/>
          </w:tcPr>
          <w:p w:rsidR="0021655A" w:rsidRPr="00627F6B" w:rsidRDefault="0021655A" w:rsidP="00A72201">
            <w:pPr>
              <w:pStyle w:val="Tablelist"/>
              <w:jc w:val="right"/>
            </w:pPr>
            <w:r>
              <w:t>1525.1</w:t>
            </w:r>
          </w:p>
        </w:tc>
        <w:tc>
          <w:tcPr>
            <w:tcW w:w="1080" w:type="dxa"/>
            <w:shd w:val="pct10" w:color="auto" w:fill="auto"/>
          </w:tcPr>
          <w:p w:rsidR="0021655A" w:rsidRPr="00627F6B" w:rsidRDefault="0021655A" w:rsidP="00A72201">
            <w:pPr>
              <w:pStyle w:val="Tablelist"/>
              <w:jc w:val="right"/>
            </w:pPr>
            <w:r>
              <w:t>1361.3</w:t>
            </w:r>
          </w:p>
        </w:tc>
        <w:tc>
          <w:tcPr>
            <w:tcW w:w="1008" w:type="dxa"/>
            <w:shd w:val="pct10" w:color="auto" w:fill="auto"/>
          </w:tcPr>
          <w:p w:rsidR="0021655A" w:rsidRPr="00627F6B" w:rsidRDefault="0021655A" w:rsidP="00A72201">
            <w:pPr>
              <w:pStyle w:val="Tablelist"/>
              <w:jc w:val="right"/>
            </w:pPr>
            <w:r>
              <w:t>1,176.4</w:t>
            </w:r>
          </w:p>
        </w:tc>
      </w:tr>
      <w:tr w:rsidR="0021655A" w:rsidRPr="00F0673C" w:rsidTr="000D46E1">
        <w:tc>
          <w:tcPr>
            <w:tcW w:w="4068" w:type="dxa"/>
          </w:tcPr>
          <w:p w:rsidR="0021655A" w:rsidRPr="00F0673C" w:rsidRDefault="0021655A" w:rsidP="00215216">
            <w:pPr>
              <w:pStyle w:val="Tablelist"/>
            </w:pPr>
            <w:r w:rsidRPr="00F0673C">
              <w:t>Cumulative CAPEX</w:t>
            </w:r>
          </w:p>
        </w:tc>
        <w:tc>
          <w:tcPr>
            <w:tcW w:w="990" w:type="dxa"/>
          </w:tcPr>
          <w:p w:rsidR="0021655A" w:rsidRPr="00F0673C" w:rsidRDefault="0021655A" w:rsidP="00A72201">
            <w:pPr>
              <w:pStyle w:val="Tablelist"/>
              <w:jc w:val="right"/>
            </w:pPr>
            <w:r w:rsidRPr="00F0673C">
              <w:t>1,250</w:t>
            </w:r>
          </w:p>
        </w:tc>
        <w:tc>
          <w:tcPr>
            <w:tcW w:w="1170" w:type="dxa"/>
          </w:tcPr>
          <w:p w:rsidR="0021655A" w:rsidRPr="00F0673C" w:rsidRDefault="0021655A" w:rsidP="00A72201">
            <w:pPr>
              <w:pStyle w:val="Tablelist"/>
              <w:jc w:val="right"/>
            </w:pPr>
            <w:r w:rsidRPr="00F0673C">
              <w:t>3,765</w:t>
            </w:r>
          </w:p>
        </w:tc>
        <w:tc>
          <w:tcPr>
            <w:tcW w:w="1260" w:type="dxa"/>
          </w:tcPr>
          <w:p w:rsidR="0021655A" w:rsidRPr="00F0673C" w:rsidRDefault="0021655A" w:rsidP="00A72201">
            <w:pPr>
              <w:pStyle w:val="Tablelist"/>
              <w:jc w:val="right"/>
            </w:pPr>
            <w:r w:rsidRPr="00F0673C">
              <w:t>5,290</w:t>
            </w:r>
          </w:p>
        </w:tc>
        <w:tc>
          <w:tcPr>
            <w:tcW w:w="1080" w:type="dxa"/>
          </w:tcPr>
          <w:p w:rsidR="0021655A" w:rsidRPr="00F0673C" w:rsidRDefault="0021655A" w:rsidP="00A72201">
            <w:pPr>
              <w:pStyle w:val="Tablelist"/>
              <w:jc w:val="right"/>
            </w:pPr>
            <w:r w:rsidRPr="00F0673C">
              <w:t>6,651</w:t>
            </w:r>
          </w:p>
        </w:tc>
        <w:tc>
          <w:tcPr>
            <w:tcW w:w="1008" w:type="dxa"/>
          </w:tcPr>
          <w:p w:rsidR="0021655A" w:rsidRPr="00F0673C" w:rsidRDefault="0021655A" w:rsidP="00A72201">
            <w:pPr>
              <w:pStyle w:val="Tablelist"/>
              <w:jc w:val="right"/>
            </w:pPr>
            <w:r w:rsidRPr="00F0673C">
              <w:t>7,828</w:t>
            </w:r>
          </w:p>
        </w:tc>
      </w:tr>
    </w:tbl>
    <w:p w:rsidR="0021655A" w:rsidRDefault="0021655A" w:rsidP="00215216"/>
    <w:p w:rsidR="0021655A" w:rsidRDefault="0021655A" w:rsidP="00215216">
      <w:pPr>
        <w:pStyle w:val="Caption"/>
      </w:pPr>
      <w:bookmarkStart w:id="14" w:name="_Ref381019647"/>
      <w:r>
        <w:lastRenderedPageBreak/>
        <w:t xml:space="preserve">Table </w:t>
      </w:r>
      <w:fldSimple w:instr=" SEQ Table \* ARABIC ">
        <w:r w:rsidR="002F19E0">
          <w:rPr>
            <w:noProof/>
          </w:rPr>
          <w:t>5</w:t>
        </w:r>
      </w:fldSimple>
      <w:bookmarkEnd w:id="14"/>
      <w:r>
        <w:t>: Capital Expenditure by Bu</w:t>
      </w:r>
      <w:r w:rsidR="00A72201">
        <w:t xml:space="preserve">siness Unit, 2014-18 </w:t>
      </w:r>
      <w:proofErr w:type="gramStart"/>
      <w:r w:rsidR="00A72201">
        <w:t xml:space="preserve">in Billion </w:t>
      </w:r>
      <w:r>
        <w:t>2013 Naira</w:t>
      </w:r>
      <w:proofErr w:type="gramEnd"/>
    </w:p>
    <w:tbl>
      <w:tblPr>
        <w:tblStyle w:val="TableGrid"/>
        <w:tblW w:w="0" w:type="auto"/>
        <w:tblLook w:val="04A0"/>
      </w:tblPr>
      <w:tblGrid>
        <w:gridCol w:w="3862"/>
        <w:gridCol w:w="971"/>
        <w:gridCol w:w="1136"/>
        <w:gridCol w:w="1233"/>
        <w:gridCol w:w="1053"/>
        <w:gridCol w:w="988"/>
      </w:tblGrid>
      <w:tr w:rsidR="0021655A" w:rsidRPr="00986D2E" w:rsidTr="000D46E1">
        <w:trPr>
          <w:tblHeader/>
        </w:trPr>
        <w:tc>
          <w:tcPr>
            <w:tcW w:w="4068" w:type="dxa"/>
            <w:tcBorders>
              <w:bottom w:val="single" w:sz="4" w:space="0" w:color="auto"/>
            </w:tcBorders>
          </w:tcPr>
          <w:p w:rsidR="0021655A" w:rsidRPr="00986D2E" w:rsidRDefault="0021655A" w:rsidP="00215216">
            <w:pPr>
              <w:pStyle w:val="Tablelist"/>
            </w:pPr>
            <w:r>
              <w:t>Billions Naira (2013 N)</w:t>
            </w:r>
          </w:p>
        </w:tc>
        <w:tc>
          <w:tcPr>
            <w:tcW w:w="990" w:type="dxa"/>
            <w:tcBorders>
              <w:bottom w:val="single" w:sz="4" w:space="0" w:color="auto"/>
            </w:tcBorders>
          </w:tcPr>
          <w:p w:rsidR="0021655A" w:rsidRPr="00986D2E" w:rsidRDefault="0021655A" w:rsidP="00A72201">
            <w:pPr>
              <w:pStyle w:val="Tablelist"/>
              <w:jc w:val="center"/>
            </w:pPr>
            <w:r w:rsidRPr="00986D2E">
              <w:t>2014</w:t>
            </w:r>
          </w:p>
        </w:tc>
        <w:tc>
          <w:tcPr>
            <w:tcW w:w="1170" w:type="dxa"/>
            <w:tcBorders>
              <w:bottom w:val="single" w:sz="4" w:space="0" w:color="auto"/>
            </w:tcBorders>
          </w:tcPr>
          <w:p w:rsidR="0021655A" w:rsidRPr="00986D2E" w:rsidRDefault="0021655A" w:rsidP="00A72201">
            <w:pPr>
              <w:pStyle w:val="Tablelist"/>
              <w:jc w:val="center"/>
            </w:pPr>
            <w:r w:rsidRPr="00986D2E">
              <w:t>2015</w:t>
            </w:r>
          </w:p>
        </w:tc>
        <w:tc>
          <w:tcPr>
            <w:tcW w:w="1260" w:type="dxa"/>
            <w:tcBorders>
              <w:bottom w:val="single" w:sz="4" w:space="0" w:color="auto"/>
            </w:tcBorders>
          </w:tcPr>
          <w:p w:rsidR="0021655A" w:rsidRPr="00986D2E" w:rsidRDefault="0021655A" w:rsidP="00A72201">
            <w:pPr>
              <w:pStyle w:val="Tablelist"/>
              <w:jc w:val="center"/>
            </w:pPr>
            <w:r w:rsidRPr="00986D2E">
              <w:t>2016</w:t>
            </w:r>
          </w:p>
        </w:tc>
        <w:tc>
          <w:tcPr>
            <w:tcW w:w="1080" w:type="dxa"/>
            <w:tcBorders>
              <w:bottom w:val="single" w:sz="4" w:space="0" w:color="auto"/>
            </w:tcBorders>
          </w:tcPr>
          <w:p w:rsidR="0021655A" w:rsidRPr="00986D2E" w:rsidRDefault="0021655A" w:rsidP="00A72201">
            <w:pPr>
              <w:pStyle w:val="Tablelist"/>
              <w:jc w:val="center"/>
            </w:pPr>
            <w:r w:rsidRPr="00986D2E">
              <w:t>2017</w:t>
            </w:r>
          </w:p>
        </w:tc>
        <w:tc>
          <w:tcPr>
            <w:tcW w:w="1008" w:type="dxa"/>
            <w:tcBorders>
              <w:bottom w:val="single" w:sz="4" w:space="0" w:color="auto"/>
            </w:tcBorders>
          </w:tcPr>
          <w:p w:rsidR="0021655A" w:rsidRPr="00986D2E" w:rsidRDefault="0021655A" w:rsidP="00A72201">
            <w:pPr>
              <w:pStyle w:val="Tablelist"/>
              <w:jc w:val="center"/>
            </w:pPr>
            <w:r w:rsidRPr="00986D2E">
              <w:t>2018</w:t>
            </w:r>
          </w:p>
        </w:tc>
      </w:tr>
      <w:tr w:rsidR="0021655A" w:rsidRPr="00986D2E" w:rsidTr="000D46E1">
        <w:tc>
          <w:tcPr>
            <w:tcW w:w="4068" w:type="dxa"/>
            <w:tcBorders>
              <w:bottom w:val="nil"/>
            </w:tcBorders>
          </w:tcPr>
          <w:p w:rsidR="0021655A" w:rsidRPr="00010861" w:rsidRDefault="0021655A" w:rsidP="00215216">
            <w:pPr>
              <w:pStyle w:val="Tablelist"/>
              <w:rPr>
                <w:u w:val="single"/>
              </w:rPr>
            </w:pPr>
            <w:r w:rsidRPr="00010861">
              <w:rPr>
                <w:u w:val="single"/>
              </w:rPr>
              <w:t>TSP Capital Expenditure</w:t>
            </w:r>
          </w:p>
        </w:tc>
        <w:tc>
          <w:tcPr>
            <w:tcW w:w="990" w:type="dxa"/>
            <w:tcBorders>
              <w:bottom w:val="nil"/>
            </w:tcBorders>
          </w:tcPr>
          <w:p w:rsidR="0021655A" w:rsidRPr="00986D2E" w:rsidRDefault="0021655A" w:rsidP="00A72201">
            <w:pPr>
              <w:pStyle w:val="Tablelist"/>
              <w:jc w:val="right"/>
            </w:pPr>
          </w:p>
        </w:tc>
        <w:tc>
          <w:tcPr>
            <w:tcW w:w="1170" w:type="dxa"/>
            <w:tcBorders>
              <w:bottom w:val="nil"/>
            </w:tcBorders>
          </w:tcPr>
          <w:p w:rsidR="0021655A" w:rsidRPr="00986D2E" w:rsidRDefault="0021655A" w:rsidP="00A72201">
            <w:pPr>
              <w:pStyle w:val="Tablelist"/>
              <w:jc w:val="right"/>
            </w:pPr>
          </w:p>
        </w:tc>
        <w:tc>
          <w:tcPr>
            <w:tcW w:w="1260" w:type="dxa"/>
            <w:tcBorders>
              <w:bottom w:val="nil"/>
            </w:tcBorders>
          </w:tcPr>
          <w:p w:rsidR="0021655A" w:rsidRPr="00986D2E" w:rsidRDefault="0021655A" w:rsidP="00A72201">
            <w:pPr>
              <w:pStyle w:val="Tablelist"/>
              <w:jc w:val="right"/>
            </w:pPr>
          </w:p>
        </w:tc>
        <w:tc>
          <w:tcPr>
            <w:tcW w:w="1080" w:type="dxa"/>
            <w:tcBorders>
              <w:bottom w:val="nil"/>
            </w:tcBorders>
          </w:tcPr>
          <w:p w:rsidR="0021655A" w:rsidRPr="00986D2E" w:rsidRDefault="0021655A" w:rsidP="00A72201">
            <w:pPr>
              <w:pStyle w:val="Tablelist"/>
              <w:jc w:val="right"/>
            </w:pPr>
          </w:p>
        </w:tc>
        <w:tc>
          <w:tcPr>
            <w:tcW w:w="1008" w:type="dxa"/>
            <w:tcBorders>
              <w:bottom w:val="nil"/>
            </w:tcBorders>
          </w:tcPr>
          <w:p w:rsidR="0021655A" w:rsidRPr="00986D2E" w:rsidRDefault="0021655A" w:rsidP="00A72201">
            <w:pPr>
              <w:pStyle w:val="Tablelist"/>
              <w:jc w:val="right"/>
            </w:pPr>
          </w:p>
        </w:tc>
      </w:tr>
      <w:tr w:rsidR="0021655A" w:rsidRPr="00986D2E" w:rsidTr="000D46E1">
        <w:tc>
          <w:tcPr>
            <w:tcW w:w="4068" w:type="dxa"/>
            <w:tcBorders>
              <w:top w:val="nil"/>
              <w:bottom w:val="nil"/>
            </w:tcBorders>
          </w:tcPr>
          <w:p w:rsidR="0021655A" w:rsidRPr="00986D2E" w:rsidRDefault="0021655A" w:rsidP="00215216">
            <w:pPr>
              <w:pStyle w:val="Tablelist"/>
            </w:pPr>
            <w:r w:rsidRPr="00986D2E">
              <w:t>Substation Refurbishment</w:t>
            </w:r>
          </w:p>
        </w:tc>
        <w:tc>
          <w:tcPr>
            <w:tcW w:w="990" w:type="dxa"/>
            <w:tcBorders>
              <w:top w:val="nil"/>
              <w:bottom w:val="nil"/>
            </w:tcBorders>
          </w:tcPr>
          <w:p w:rsidR="0021655A" w:rsidRPr="00986D2E" w:rsidRDefault="0021655A" w:rsidP="00A72201">
            <w:pPr>
              <w:pStyle w:val="Tablelist"/>
              <w:jc w:val="right"/>
            </w:pPr>
            <w:r>
              <w:t>88.1</w:t>
            </w:r>
          </w:p>
        </w:tc>
        <w:tc>
          <w:tcPr>
            <w:tcW w:w="1170" w:type="dxa"/>
            <w:tcBorders>
              <w:top w:val="nil"/>
              <w:bottom w:val="nil"/>
            </w:tcBorders>
          </w:tcPr>
          <w:p w:rsidR="0021655A" w:rsidRPr="00986D2E" w:rsidRDefault="0021655A" w:rsidP="00A72201">
            <w:pPr>
              <w:pStyle w:val="Tablelist"/>
              <w:jc w:val="right"/>
            </w:pPr>
            <w:r>
              <w:t>36.7</w:t>
            </w:r>
          </w:p>
        </w:tc>
        <w:tc>
          <w:tcPr>
            <w:tcW w:w="1260" w:type="dxa"/>
            <w:tcBorders>
              <w:top w:val="nil"/>
              <w:bottom w:val="nil"/>
            </w:tcBorders>
          </w:tcPr>
          <w:p w:rsidR="0021655A" w:rsidRPr="00986D2E" w:rsidRDefault="0021655A" w:rsidP="00A72201">
            <w:pPr>
              <w:pStyle w:val="Tablelist"/>
              <w:jc w:val="right"/>
            </w:pPr>
            <w:r>
              <w:t>7.3</w:t>
            </w:r>
          </w:p>
        </w:tc>
        <w:tc>
          <w:tcPr>
            <w:tcW w:w="1080" w:type="dxa"/>
            <w:tcBorders>
              <w:top w:val="nil"/>
              <w:bottom w:val="nil"/>
            </w:tcBorders>
          </w:tcPr>
          <w:p w:rsidR="0021655A" w:rsidRPr="00986D2E" w:rsidRDefault="0021655A" w:rsidP="00A72201">
            <w:pPr>
              <w:pStyle w:val="Tablelist"/>
              <w:jc w:val="right"/>
            </w:pPr>
            <w:r>
              <w:t>7.3</w:t>
            </w:r>
          </w:p>
        </w:tc>
        <w:tc>
          <w:tcPr>
            <w:tcW w:w="1008" w:type="dxa"/>
            <w:tcBorders>
              <w:top w:val="nil"/>
              <w:bottom w:val="nil"/>
            </w:tcBorders>
          </w:tcPr>
          <w:p w:rsidR="0021655A" w:rsidRPr="00986D2E" w:rsidRDefault="0021655A" w:rsidP="00A72201">
            <w:pPr>
              <w:pStyle w:val="Tablelist"/>
              <w:jc w:val="right"/>
            </w:pPr>
            <w:r>
              <w:t>7.3</w:t>
            </w:r>
          </w:p>
        </w:tc>
      </w:tr>
      <w:tr w:rsidR="0021655A" w:rsidRPr="00986D2E" w:rsidTr="000D46E1">
        <w:tc>
          <w:tcPr>
            <w:tcW w:w="4068" w:type="dxa"/>
            <w:tcBorders>
              <w:top w:val="nil"/>
              <w:bottom w:val="nil"/>
            </w:tcBorders>
          </w:tcPr>
          <w:p w:rsidR="0021655A" w:rsidRPr="00986D2E" w:rsidRDefault="0021655A" w:rsidP="00215216">
            <w:pPr>
              <w:pStyle w:val="Tablelist"/>
            </w:pPr>
            <w:r w:rsidRPr="00986D2E">
              <w:t>New Lines and Substations</w:t>
            </w:r>
          </w:p>
        </w:tc>
        <w:tc>
          <w:tcPr>
            <w:tcW w:w="990" w:type="dxa"/>
            <w:tcBorders>
              <w:top w:val="nil"/>
              <w:bottom w:val="nil"/>
            </w:tcBorders>
          </w:tcPr>
          <w:p w:rsidR="0021655A" w:rsidRPr="00986D2E" w:rsidRDefault="0021655A" w:rsidP="00A72201">
            <w:pPr>
              <w:pStyle w:val="Tablelist"/>
              <w:jc w:val="right"/>
            </w:pPr>
            <w:r>
              <w:t>76.9</w:t>
            </w:r>
          </w:p>
        </w:tc>
        <w:tc>
          <w:tcPr>
            <w:tcW w:w="1170" w:type="dxa"/>
            <w:tcBorders>
              <w:top w:val="nil"/>
              <w:bottom w:val="nil"/>
            </w:tcBorders>
          </w:tcPr>
          <w:p w:rsidR="0021655A" w:rsidRPr="00986D2E" w:rsidRDefault="0021655A" w:rsidP="00A72201">
            <w:pPr>
              <w:pStyle w:val="Tablelist"/>
              <w:jc w:val="right"/>
            </w:pPr>
            <w:r>
              <w:t>319.6</w:t>
            </w:r>
          </w:p>
        </w:tc>
        <w:tc>
          <w:tcPr>
            <w:tcW w:w="1260" w:type="dxa"/>
            <w:tcBorders>
              <w:top w:val="nil"/>
              <w:bottom w:val="nil"/>
            </w:tcBorders>
          </w:tcPr>
          <w:p w:rsidR="0021655A" w:rsidRPr="00986D2E" w:rsidRDefault="0021655A" w:rsidP="00A72201">
            <w:pPr>
              <w:pStyle w:val="Tablelist"/>
              <w:jc w:val="right"/>
            </w:pPr>
            <w:r>
              <w:t>222.6</w:t>
            </w:r>
          </w:p>
        </w:tc>
        <w:tc>
          <w:tcPr>
            <w:tcW w:w="1080" w:type="dxa"/>
            <w:tcBorders>
              <w:top w:val="nil"/>
              <w:bottom w:val="nil"/>
            </w:tcBorders>
          </w:tcPr>
          <w:p w:rsidR="0021655A" w:rsidRPr="00986D2E" w:rsidRDefault="0021655A" w:rsidP="00A72201">
            <w:pPr>
              <w:pStyle w:val="Tablelist"/>
              <w:jc w:val="right"/>
            </w:pPr>
            <w:r>
              <w:t>197.2</w:t>
            </w:r>
          </w:p>
        </w:tc>
        <w:tc>
          <w:tcPr>
            <w:tcW w:w="1008" w:type="dxa"/>
            <w:tcBorders>
              <w:top w:val="nil"/>
              <w:bottom w:val="nil"/>
            </w:tcBorders>
          </w:tcPr>
          <w:p w:rsidR="0021655A" w:rsidRPr="00986D2E" w:rsidRDefault="0021655A" w:rsidP="00A72201">
            <w:pPr>
              <w:pStyle w:val="Tablelist"/>
              <w:jc w:val="right"/>
            </w:pPr>
            <w:r>
              <w:t>168.5</w:t>
            </w:r>
          </w:p>
        </w:tc>
      </w:tr>
      <w:tr w:rsidR="0021655A" w:rsidRPr="00986D2E" w:rsidTr="000D46E1">
        <w:tc>
          <w:tcPr>
            <w:tcW w:w="4068" w:type="dxa"/>
            <w:tcBorders>
              <w:top w:val="nil"/>
              <w:bottom w:val="nil"/>
            </w:tcBorders>
          </w:tcPr>
          <w:p w:rsidR="0021655A" w:rsidRPr="00986D2E" w:rsidRDefault="0021655A" w:rsidP="00215216">
            <w:pPr>
              <w:pStyle w:val="Tablelist"/>
            </w:pPr>
            <w:r w:rsidRPr="00986D2E">
              <w:t>Land &amp; Buildings</w:t>
            </w:r>
          </w:p>
        </w:tc>
        <w:tc>
          <w:tcPr>
            <w:tcW w:w="990" w:type="dxa"/>
            <w:tcBorders>
              <w:top w:val="nil"/>
              <w:bottom w:val="nil"/>
            </w:tcBorders>
          </w:tcPr>
          <w:p w:rsidR="0021655A" w:rsidRPr="00986D2E" w:rsidRDefault="0021655A" w:rsidP="00A72201">
            <w:pPr>
              <w:pStyle w:val="Tablelist"/>
              <w:jc w:val="right"/>
            </w:pPr>
            <w:r>
              <w:t>16.1</w:t>
            </w:r>
          </w:p>
        </w:tc>
        <w:tc>
          <w:tcPr>
            <w:tcW w:w="1170" w:type="dxa"/>
            <w:tcBorders>
              <w:top w:val="nil"/>
              <w:bottom w:val="nil"/>
            </w:tcBorders>
          </w:tcPr>
          <w:p w:rsidR="0021655A" w:rsidRPr="00986D2E" w:rsidRDefault="0021655A" w:rsidP="00A72201">
            <w:pPr>
              <w:pStyle w:val="Tablelist"/>
              <w:jc w:val="right"/>
            </w:pPr>
            <w:r>
              <w:t>16.1</w:t>
            </w:r>
          </w:p>
        </w:tc>
        <w:tc>
          <w:tcPr>
            <w:tcW w:w="1260" w:type="dxa"/>
            <w:tcBorders>
              <w:top w:val="nil"/>
              <w:bottom w:val="nil"/>
            </w:tcBorders>
          </w:tcPr>
          <w:p w:rsidR="0021655A" w:rsidRPr="00986D2E" w:rsidRDefault="0021655A" w:rsidP="00A72201">
            <w:pPr>
              <w:pStyle w:val="Tablelist"/>
              <w:jc w:val="right"/>
            </w:pPr>
            <w:r>
              <w:t>3.1</w:t>
            </w:r>
          </w:p>
        </w:tc>
        <w:tc>
          <w:tcPr>
            <w:tcW w:w="1080" w:type="dxa"/>
            <w:tcBorders>
              <w:top w:val="nil"/>
              <w:bottom w:val="nil"/>
            </w:tcBorders>
          </w:tcPr>
          <w:p w:rsidR="0021655A" w:rsidRPr="00986D2E" w:rsidRDefault="0021655A" w:rsidP="00A72201">
            <w:pPr>
              <w:pStyle w:val="Tablelist"/>
              <w:jc w:val="right"/>
            </w:pPr>
            <w:r>
              <w:t>3.1</w:t>
            </w:r>
          </w:p>
        </w:tc>
        <w:tc>
          <w:tcPr>
            <w:tcW w:w="1008" w:type="dxa"/>
            <w:tcBorders>
              <w:top w:val="nil"/>
              <w:bottom w:val="nil"/>
            </w:tcBorders>
          </w:tcPr>
          <w:p w:rsidR="0021655A" w:rsidRPr="00986D2E" w:rsidRDefault="0021655A" w:rsidP="00A72201">
            <w:pPr>
              <w:pStyle w:val="Tablelist"/>
              <w:jc w:val="right"/>
            </w:pPr>
            <w:r>
              <w:t>3.1</w:t>
            </w:r>
          </w:p>
        </w:tc>
      </w:tr>
      <w:tr w:rsidR="0021655A" w:rsidRPr="00986D2E" w:rsidTr="000D46E1">
        <w:tc>
          <w:tcPr>
            <w:tcW w:w="4068" w:type="dxa"/>
            <w:tcBorders>
              <w:top w:val="nil"/>
              <w:bottom w:val="nil"/>
            </w:tcBorders>
          </w:tcPr>
          <w:p w:rsidR="0021655A" w:rsidRPr="00986D2E" w:rsidRDefault="0021655A" w:rsidP="00215216">
            <w:pPr>
              <w:pStyle w:val="Tablelist"/>
            </w:pPr>
            <w:r w:rsidRPr="00986D2E">
              <w:t>Office Tools, Furniture &amp; Equipment</w:t>
            </w:r>
          </w:p>
        </w:tc>
        <w:tc>
          <w:tcPr>
            <w:tcW w:w="990" w:type="dxa"/>
            <w:tcBorders>
              <w:top w:val="nil"/>
              <w:bottom w:val="nil"/>
            </w:tcBorders>
          </w:tcPr>
          <w:p w:rsidR="0021655A" w:rsidRPr="00986D2E" w:rsidRDefault="0021655A" w:rsidP="00A72201">
            <w:pPr>
              <w:pStyle w:val="Tablelist"/>
              <w:jc w:val="right"/>
            </w:pPr>
            <w:r>
              <w:t>1.8</w:t>
            </w:r>
          </w:p>
        </w:tc>
        <w:tc>
          <w:tcPr>
            <w:tcW w:w="1170" w:type="dxa"/>
            <w:tcBorders>
              <w:top w:val="nil"/>
              <w:bottom w:val="nil"/>
            </w:tcBorders>
          </w:tcPr>
          <w:p w:rsidR="0021655A" w:rsidRPr="00986D2E" w:rsidRDefault="0021655A" w:rsidP="00A72201">
            <w:pPr>
              <w:pStyle w:val="Tablelist"/>
              <w:jc w:val="right"/>
            </w:pPr>
            <w:r>
              <w:t>1.9</w:t>
            </w:r>
          </w:p>
        </w:tc>
        <w:tc>
          <w:tcPr>
            <w:tcW w:w="1260" w:type="dxa"/>
            <w:tcBorders>
              <w:top w:val="nil"/>
              <w:bottom w:val="nil"/>
            </w:tcBorders>
          </w:tcPr>
          <w:p w:rsidR="0021655A" w:rsidRPr="00986D2E" w:rsidRDefault="0021655A" w:rsidP="00A72201">
            <w:pPr>
              <w:pStyle w:val="Tablelist"/>
              <w:jc w:val="right"/>
            </w:pPr>
            <w:r>
              <w:t>0.6</w:t>
            </w:r>
          </w:p>
        </w:tc>
        <w:tc>
          <w:tcPr>
            <w:tcW w:w="1080" w:type="dxa"/>
            <w:tcBorders>
              <w:top w:val="nil"/>
              <w:bottom w:val="nil"/>
            </w:tcBorders>
          </w:tcPr>
          <w:p w:rsidR="0021655A" w:rsidRPr="00986D2E" w:rsidRDefault="0021655A" w:rsidP="00A72201">
            <w:pPr>
              <w:pStyle w:val="Tablelist"/>
              <w:jc w:val="right"/>
            </w:pPr>
            <w:r>
              <w:t>5.1</w:t>
            </w:r>
          </w:p>
        </w:tc>
        <w:tc>
          <w:tcPr>
            <w:tcW w:w="1008" w:type="dxa"/>
            <w:tcBorders>
              <w:top w:val="nil"/>
              <w:bottom w:val="nil"/>
            </w:tcBorders>
          </w:tcPr>
          <w:p w:rsidR="0021655A" w:rsidRPr="00986D2E" w:rsidRDefault="0021655A" w:rsidP="00A72201">
            <w:pPr>
              <w:pStyle w:val="Tablelist"/>
              <w:jc w:val="right"/>
            </w:pPr>
            <w:r>
              <w:t>5.0</w:t>
            </w:r>
          </w:p>
        </w:tc>
      </w:tr>
      <w:tr w:rsidR="0021655A" w:rsidRPr="00986D2E" w:rsidTr="000D46E1">
        <w:tc>
          <w:tcPr>
            <w:tcW w:w="4068" w:type="dxa"/>
            <w:tcBorders>
              <w:top w:val="nil"/>
            </w:tcBorders>
          </w:tcPr>
          <w:p w:rsidR="0021655A" w:rsidRPr="00986D2E" w:rsidRDefault="0021655A" w:rsidP="00215216">
            <w:pPr>
              <w:pStyle w:val="Tablelist"/>
            </w:pPr>
            <w:r w:rsidRPr="00986D2E">
              <w:t>Motor Vehicles</w:t>
            </w:r>
          </w:p>
        </w:tc>
        <w:tc>
          <w:tcPr>
            <w:tcW w:w="990" w:type="dxa"/>
            <w:tcBorders>
              <w:top w:val="nil"/>
            </w:tcBorders>
          </w:tcPr>
          <w:p w:rsidR="0021655A" w:rsidRPr="00986D2E" w:rsidRDefault="0021655A" w:rsidP="00A72201">
            <w:pPr>
              <w:pStyle w:val="Tablelist"/>
              <w:jc w:val="right"/>
            </w:pPr>
            <w:r>
              <w:t>5.9</w:t>
            </w:r>
          </w:p>
        </w:tc>
        <w:tc>
          <w:tcPr>
            <w:tcW w:w="1170" w:type="dxa"/>
            <w:tcBorders>
              <w:top w:val="nil"/>
            </w:tcBorders>
          </w:tcPr>
          <w:p w:rsidR="0021655A" w:rsidRPr="00986D2E" w:rsidRDefault="0021655A" w:rsidP="00A72201">
            <w:pPr>
              <w:pStyle w:val="Tablelist"/>
              <w:jc w:val="right"/>
            </w:pPr>
            <w:r>
              <w:t>2.0</w:t>
            </w:r>
          </w:p>
        </w:tc>
        <w:tc>
          <w:tcPr>
            <w:tcW w:w="1260" w:type="dxa"/>
            <w:tcBorders>
              <w:top w:val="nil"/>
            </w:tcBorders>
          </w:tcPr>
          <w:p w:rsidR="0021655A" w:rsidRPr="00986D2E" w:rsidRDefault="0021655A" w:rsidP="00A72201">
            <w:pPr>
              <w:pStyle w:val="Tablelist"/>
              <w:jc w:val="right"/>
            </w:pPr>
            <w:r>
              <w:t>1.5</w:t>
            </w:r>
          </w:p>
        </w:tc>
        <w:tc>
          <w:tcPr>
            <w:tcW w:w="1080" w:type="dxa"/>
            <w:tcBorders>
              <w:top w:val="nil"/>
            </w:tcBorders>
          </w:tcPr>
          <w:p w:rsidR="0021655A" w:rsidRPr="00986D2E" w:rsidRDefault="0021655A" w:rsidP="00A72201">
            <w:pPr>
              <w:pStyle w:val="Tablelist"/>
              <w:jc w:val="right"/>
            </w:pPr>
            <w:r>
              <w:t>1.5</w:t>
            </w:r>
          </w:p>
        </w:tc>
        <w:tc>
          <w:tcPr>
            <w:tcW w:w="1008" w:type="dxa"/>
            <w:tcBorders>
              <w:top w:val="nil"/>
            </w:tcBorders>
          </w:tcPr>
          <w:p w:rsidR="0021655A" w:rsidRPr="00986D2E" w:rsidRDefault="0021655A" w:rsidP="00A72201">
            <w:pPr>
              <w:pStyle w:val="Tablelist"/>
              <w:jc w:val="right"/>
            </w:pPr>
            <w:r>
              <w:t>1.5</w:t>
            </w:r>
          </w:p>
        </w:tc>
      </w:tr>
      <w:tr w:rsidR="0021655A" w:rsidRPr="00986D2E" w:rsidTr="000D46E1">
        <w:tc>
          <w:tcPr>
            <w:tcW w:w="4068" w:type="dxa"/>
          </w:tcPr>
          <w:p w:rsidR="0021655A" w:rsidRPr="00BC00F7" w:rsidRDefault="0021655A" w:rsidP="00215216">
            <w:pPr>
              <w:pStyle w:val="Tablelist"/>
            </w:pPr>
            <w:r w:rsidRPr="00BC00F7">
              <w:t>TOTAL TSP CAPEX</w:t>
            </w:r>
          </w:p>
        </w:tc>
        <w:tc>
          <w:tcPr>
            <w:tcW w:w="990" w:type="dxa"/>
          </w:tcPr>
          <w:p w:rsidR="0021655A" w:rsidRPr="00BC00F7" w:rsidRDefault="0021655A" w:rsidP="00A72201">
            <w:pPr>
              <w:pStyle w:val="Tablelist"/>
              <w:jc w:val="right"/>
            </w:pPr>
            <w:r>
              <w:t>188.9</w:t>
            </w:r>
          </w:p>
        </w:tc>
        <w:tc>
          <w:tcPr>
            <w:tcW w:w="1170" w:type="dxa"/>
          </w:tcPr>
          <w:p w:rsidR="0021655A" w:rsidRPr="00BC00F7" w:rsidRDefault="0021655A" w:rsidP="00A72201">
            <w:pPr>
              <w:pStyle w:val="Tablelist"/>
              <w:jc w:val="right"/>
            </w:pPr>
            <w:r>
              <w:t>376.3</w:t>
            </w:r>
          </w:p>
        </w:tc>
        <w:tc>
          <w:tcPr>
            <w:tcW w:w="1260" w:type="dxa"/>
          </w:tcPr>
          <w:p w:rsidR="0021655A" w:rsidRPr="00BC00F7" w:rsidRDefault="0021655A" w:rsidP="00A72201">
            <w:pPr>
              <w:pStyle w:val="Tablelist"/>
              <w:jc w:val="right"/>
            </w:pPr>
            <w:r>
              <w:t>235.1</w:t>
            </w:r>
          </w:p>
        </w:tc>
        <w:tc>
          <w:tcPr>
            <w:tcW w:w="1080" w:type="dxa"/>
          </w:tcPr>
          <w:p w:rsidR="0021655A" w:rsidRPr="00BC00F7" w:rsidRDefault="0021655A" w:rsidP="00A72201">
            <w:pPr>
              <w:pStyle w:val="Tablelist"/>
              <w:jc w:val="right"/>
            </w:pPr>
            <w:r>
              <w:t>214.2</w:t>
            </w:r>
          </w:p>
        </w:tc>
        <w:tc>
          <w:tcPr>
            <w:tcW w:w="1008" w:type="dxa"/>
          </w:tcPr>
          <w:p w:rsidR="0021655A" w:rsidRPr="00BC00F7" w:rsidRDefault="0021655A" w:rsidP="00A72201">
            <w:pPr>
              <w:pStyle w:val="Tablelist"/>
              <w:jc w:val="right"/>
            </w:pPr>
            <w:r>
              <w:t>185.4</w:t>
            </w:r>
          </w:p>
        </w:tc>
      </w:tr>
      <w:tr w:rsidR="0021655A" w:rsidRPr="00986D2E" w:rsidTr="000D46E1">
        <w:tc>
          <w:tcPr>
            <w:tcW w:w="4068" w:type="dxa"/>
            <w:tcBorders>
              <w:bottom w:val="nil"/>
            </w:tcBorders>
          </w:tcPr>
          <w:p w:rsidR="0021655A" w:rsidRPr="00010861" w:rsidRDefault="0021655A" w:rsidP="00215216">
            <w:pPr>
              <w:pStyle w:val="Tablelist"/>
              <w:rPr>
                <w:u w:val="single"/>
              </w:rPr>
            </w:pPr>
            <w:r w:rsidRPr="00010861">
              <w:rPr>
                <w:u w:val="single"/>
              </w:rPr>
              <w:t>SO Capital Expenditure</w:t>
            </w:r>
          </w:p>
        </w:tc>
        <w:tc>
          <w:tcPr>
            <w:tcW w:w="990" w:type="dxa"/>
            <w:tcBorders>
              <w:bottom w:val="nil"/>
            </w:tcBorders>
          </w:tcPr>
          <w:p w:rsidR="0021655A" w:rsidRPr="00986D2E" w:rsidRDefault="0021655A" w:rsidP="00A72201">
            <w:pPr>
              <w:pStyle w:val="Tablelist"/>
              <w:jc w:val="right"/>
            </w:pPr>
          </w:p>
        </w:tc>
        <w:tc>
          <w:tcPr>
            <w:tcW w:w="1170" w:type="dxa"/>
            <w:tcBorders>
              <w:bottom w:val="nil"/>
            </w:tcBorders>
          </w:tcPr>
          <w:p w:rsidR="0021655A" w:rsidRPr="00986D2E" w:rsidRDefault="0021655A" w:rsidP="00A72201">
            <w:pPr>
              <w:pStyle w:val="Tablelist"/>
              <w:jc w:val="right"/>
            </w:pPr>
          </w:p>
        </w:tc>
        <w:tc>
          <w:tcPr>
            <w:tcW w:w="1260" w:type="dxa"/>
            <w:tcBorders>
              <w:bottom w:val="nil"/>
            </w:tcBorders>
          </w:tcPr>
          <w:p w:rsidR="0021655A" w:rsidRPr="00986D2E" w:rsidRDefault="0021655A" w:rsidP="00A72201">
            <w:pPr>
              <w:pStyle w:val="Tablelist"/>
              <w:jc w:val="right"/>
            </w:pPr>
          </w:p>
        </w:tc>
        <w:tc>
          <w:tcPr>
            <w:tcW w:w="1080" w:type="dxa"/>
            <w:tcBorders>
              <w:bottom w:val="nil"/>
            </w:tcBorders>
          </w:tcPr>
          <w:p w:rsidR="0021655A" w:rsidRPr="00986D2E" w:rsidRDefault="0021655A" w:rsidP="00A72201">
            <w:pPr>
              <w:pStyle w:val="Tablelist"/>
              <w:jc w:val="right"/>
            </w:pPr>
          </w:p>
        </w:tc>
        <w:tc>
          <w:tcPr>
            <w:tcW w:w="1008" w:type="dxa"/>
            <w:tcBorders>
              <w:bottom w:val="nil"/>
            </w:tcBorders>
          </w:tcPr>
          <w:p w:rsidR="0021655A" w:rsidRPr="00986D2E" w:rsidRDefault="0021655A" w:rsidP="00A72201">
            <w:pPr>
              <w:pStyle w:val="Tablelist"/>
              <w:jc w:val="right"/>
            </w:pPr>
          </w:p>
        </w:tc>
      </w:tr>
      <w:tr w:rsidR="0021655A" w:rsidRPr="00986D2E" w:rsidTr="000D46E1">
        <w:tc>
          <w:tcPr>
            <w:tcW w:w="4068" w:type="dxa"/>
            <w:tcBorders>
              <w:top w:val="nil"/>
              <w:bottom w:val="nil"/>
            </w:tcBorders>
          </w:tcPr>
          <w:p w:rsidR="0021655A" w:rsidRPr="00986D2E" w:rsidRDefault="0021655A" w:rsidP="00215216">
            <w:pPr>
              <w:pStyle w:val="Tablelist"/>
            </w:pPr>
            <w:r w:rsidRPr="00986D2E">
              <w:t>SCADA and Telecom</w:t>
            </w:r>
          </w:p>
        </w:tc>
        <w:tc>
          <w:tcPr>
            <w:tcW w:w="990" w:type="dxa"/>
            <w:tcBorders>
              <w:top w:val="nil"/>
              <w:bottom w:val="nil"/>
            </w:tcBorders>
          </w:tcPr>
          <w:p w:rsidR="0021655A" w:rsidRPr="00986D2E" w:rsidRDefault="0021655A" w:rsidP="00A72201">
            <w:pPr>
              <w:pStyle w:val="Tablelist"/>
              <w:jc w:val="right"/>
            </w:pPr>
            <w:r>
              <w:t>4.1</w:t>
            </w:r>
          </w:p>
        </w:tc>
        <w:tc>
          <w:tcPr>
            <w:tcW w:w="1170" w:type="dxa"/>
            <w:tcBorders>
              <w:top w:val="nil"/>
              <w:bottom w:val="nil"/>
            </w:tcBorders>
          </w:tcPr>
          <w:p w:rsidR="0021655A" w:rsidRPr="00986D2E" w:rsidRDefault="0021655A" w:rsidP="00A72201">
            <w:pPr>
              <w:pStyle w:val="Tablelist"/>
              <w:jc w:val="right"/>
            </w:pPr>
            <w:r>
              <w:t>5.2</w:t>
            </w:r>
          </w:p>
        </w:tc>
        <w:tc>
          <w:tcPr>
            <w:tcW w:w="1260" w:type="dxa"/>
            <w:tcBorders>
              <w:top w:val="nil"/>
              <w:bottom w:val="nil"/>
            </w:tcBorders>
          </w:tcPr>
          <w:p w:rsidR="0021655A" w:rsidRPr="00986D2E" w:rsidRDefault="0021655A" w:rsidP="00A72201">
            <w:pPr>
              <w:pStyle w:val="Tablelist"/>
              <w:jc w:val="right"/>
            </w:pPr>
            <w:r>
              <w:t>0.9</w:t>
            </w:r>
          </w:p>
        </w:tc>
        <w:tc>
          <w:tcPr>
            <w:tcW w:w="1080" w:type="dxa"/>
            <w:tcBorders>
              <w:top w:val="nil"/>
              <w:bottom w:val="nil"/>
            </w:tcBorders>
          </w:tcPr>
          <w:p w:rsidR="0021655A" w:rsidRPr="00986D2E" w:rsidRDefault="0021655A" w:rsidP="00A72201">
            <w:pPr>
              <w:pStyle w:val="Tablelist"/>
              <w:jc w:val="right"/>
            </w:pPr>
            <w:r>
              <w:t>0.9</w:t>
            </w:r>
          </w:p>
        </w:tc>
        <w:tc>
          <w:tcPr>
            <w:tcW w:w="1008" w:type="dxa"/>
            <w:tcBorders>
              <w:top w:val="nil"/>
              <w:bottom w:val="nil"/>
            </w:tcBorders>
          </w:tcPr>
          <w:p w:rsidR="0021655A" w:rsidRPr="00986D2E" w:rsidRDefault="0021655A" w:rsidP="00A72201">
            <w:pPr>
              <w:pStyle w:val="Tablelist"/>
              <w:jc w:val="right"/>
            </w:pPr>
            <w:r>
              <w:t>0.9</w:t>
            </w:r>
          </w:p>
        </w:tc>
      </w:tr>
      <w:tr w:rsidR="0021655A" w:rsidRPr="00986D2E" w:rsidTr="000D46E1">
        <w:tc>
          <w:tcPr>
            <w:tcW w:w="4068" w:type="dxa"/>
            <w:tcBorders>
              <w:top w:val="nil"/>
              <w:bottom w:val="nil"/>
            </w:tcBorders>
          </w:tcPr>
          <w:p w:rsidR="0021655A" w:rsidRPr="00986D2E" w:rsidRDefault="0021655A" w:rsidP="00215216">
            <w:pPr>
              <w:pStyle w:val="Tablelist"/>
            </w:pPr>
            <w:r w:rsidRPr="00986D2E">
              <w:t>Land &amp; Buildings</w:t>
            </w:r>
          </w:p>
        </w:tc>
        <w:tc>
          <w:tcPr>
            <w:tcW w:w="990" w:type="dxa"/>
            <w:tcBorders>
              <w:top w:val="nil"/>
              <w:bottom w:val="nil"/>
            </w:tcBorders>
          </w:tcPr>
          <w:p w:rsidR="0021655A" w:rsidRPr="00986D2E" w:rsidRDefault="0021655A" w:rsidP="00A72201">
            <w:pPr>
              <w:pStyle w:val="Tablelist"/>
              <w:jc w:val="right"/>
            </w:pPr>
            <w:r>
              <w:t>0.0</w:t>
            </w:r>
          </w:p>
        </w:tc>
        <w:tc>
          <w:tcPr>
            <w:tcW w:w="1170" w:type="dxa"/>
            <w:tcBorders>
              <w:top w:val="nil"/>
              <w:bottom w:val="nil"/>
            </w:tcBorders>
          </w:tcPr>
          <w:p w:rsidR="0021655A" w:rsidRPr="00986D2E" w:rsidRDefault="0021655A" w:rsidP="00A72201">
            <w:pPr>
              <w:pStyle w:val="Tablelist"/>
              <w:jc w:val="right"/>
            </w:pPr>
            <w:r>
              <w:t>6.2</w:t>
            </w:r>
          </w:p>
        </w:tc>
        <w:tc>
          <w:tcPr>
            <w:tcW w:w="1260" w:type="dxa"/>
            <w:tcBorders>
              <w:top w:val="nil"/>
              <w:bottom w:val="nil"/>
            </w:tcBorders>
          </w:tcPr>
          <w:p w:rsidR="0021655A" w:rsidRPr="00986D2E" w:rsidRDefault="0021655A" w:rsidP="00A72201">
            <w:pPr>
              <w:pStyle w:val="Tablelist"/>
              <w:jc w:val="right"/>
            </w:pPr>
            <w:r>
              <w:t>0.0</w:t>
            </w:r>
          </w:p>
        </w:tc>
        <w:tc>
          <w:tcPr>
            <w:tcW w:w="1080" w:type="dxa"/>
            <w:tcBorders>
              <w:top w:val="nil"/>
              <w:bottom w:val="nil"/>
            </w:tcBorders>
          </w:tcPr>
          <w:p w:rsidR="0021655A" w:rsidRPr="00986D2E" w:rsidRDefault="0021655A" w:rsidP="00A72201">
            <w:pPr>
              <w:pStyle w:val="Tablelist"/>
              <w:jc w:val="right"/>
            </w:pPr>
            <w:r>
              <w:t>0.0</w:t>
            </w:r>
          </w:p>
        </w:tc>
        <w:tc>
          <w:tcPr>
            <w:tcW w:w="1008" w:type="dxa"/>
            <w:tcBorders>
              <w:top w:val="nil"/>
              <w:bottom w:val="nil"/>
            </w:tcBorders>
          </w:tcPr>
          <w:p w:rsidR="0021655A" w:rsidRPr="00986D2E" w:rsidRDefault="0021655A" w:rsidP="00A72201">
            <w:pPr>
              <w:pStyle w:val="Tablelist"/>
              <w:jc w:val="right"/>
            </w:pPr>
            <w:r>
              <w:t>0.0</w:t>
            </w:r>
          </w:p>
        </w:tc>
      </w:tr>
      <w:tr w:rsidR="0021655A" w:rsidRPr="00986D2E" w:rsidTr="000D46E1">
        <w:tc>
          <w:tcPr>
            <w:tcW w:w="4068" w:type="dxa"/>
            <w:tcBorders>
              <w:top w:val="nil"/>
              <w:bottom w:val="nil"/>
            </w:tcBorders>
          </w:tcPr>
          <w:p w:rsidR="0021655A" w:rsidRPr="00986D2E" w:rsidRDefault="0021655A" w:rsidP="00215216">
            <w:pPr>
              <w:pStyle w:val="Tablelist"/>
            </w:pPr>
            <w:r w:rsidRPr="00986D2E">
              <w:t>Office Tools, Furniture &amp; Equipment</w:t>
            </w:r>
          </w:p>
        </w:tc>
        <w:tc>
          <w:tcPr>
            <w:tcW w:w="990" w:type="dxa"/>
            <w:tcBorders>
              <w:top w:val="nil"/>
              <w:bottom w:val="nil"/>
            </w:tcBorders>
          </w:tcPr>
          <w:p w:rsidR="0021655A" w:rsidRPr="00986D2E" w:rsidRDefault="0021655A" w:rsidP="00A72201">
            <w:pPr>
              <w:pStyle w:val="Tablelist"/>
              <w:jc w:val="right"/>
            </w:pPr>
            <w:r>
              <w:t>0.5</w:t>
            </w:r>
          </w:p>
        </w:tc>
        <w:tc>
          <w:tcPr>
            <w:tcW w:w="1170" w:type="dxa"/>
            <w:tcBorders>
              <w:top w:val="nil"/>
              <w:bottom w:val="nil"/>
            </w:tcBorders>
          </w:tcPr>
          <w:p w:rsidR="0021655A" w:rsidRPr="00986D2E" w:rsidRDefault="0021655A" w:rsidP="00A72201">
            <w:pPr>
              <w:pStyle w:val="Tablelist"/>
              <w:jc w:val="right"/>
            </w:pPr>
            <w:r>
              <w:t>0.3</w:t>
            </w:r>
          </w:p>
        </w:tc>
        <w:tc>
          <w:tcPr>
            <w:tcW w:w="1260" w:type="dxa"/>
            <w:tcBorders>
              <w:top w:val="nil"/>
              <w:bottom w:val="nil"/>
            </w:tcBorders>
          </w:tcPr>
          <w:p w:rsidR="0021655A" w:rsidRPr="00986D2E" w:rsidRDefault="0021655A" w:rsidP="00A72201">
            <w:pPr>
              <w:pStyle w:val="Tablelist"/>
              <w:jc w:val="right"/>
            </w:pPr>
            <w:r>
              <w:t>0.1</w:t>
            </w:r>
          </w:p>
        </w:tc>
        <w:tc>
          <w:tcPr>
            <w:tcW w:w="1080" w:type="dxa"/>
            <w:tcBorders>
              <w:top w:val="nil"/>
              <w:bottom w:val="nil"/>
            </w:tcBorders>
          </w:tcPr>
          <w:p w:rsidR="0021655A" w:rsidRPr="00986D2E" w:rsidRDefault="0021655A" w:rsidP="00A72201">
            <w:pPr>
              <w:pStyle w:val="Tablelist"/>
              <w:jc w:val="right"/>
            </w:pPr>
            <w:r>
              <w:t>0.1</w:t>
            </w:r>
          </w:p>
        </w:tc>
        <w:tc>
          <w:tcPr>
            <w:tcW w:w="1008" w:type="dxa"/>
            <w:tcBorders>
              <w:top w:val="nil"/>
              <w:bottom w:val="nil"/>
            </w:tcBorders>
          </w:tcPr>
          <w:p w:rsidR="0021655A" w:rsidRPr="00986D2E" w:rsidRDefault="0021655A" w:rsidP="00A72201">
            <w:pPr>
              <w:pStyle w:val="Tablelist"/>
              <w:jc w:val="right"/>
            </w:pPr>
            <w:r>
              <w:t>0.1</w:t>
            </w:r>
          </w:p>
        </w:tc>
      </w:tr>
      <w:tr w:rsidR="0021655A" w:rsidRPr="00986D2E" w:rsidTr="000D46E1">
        <w:tc>
          <w:tcPr>
            <w:tcW w:w="4068" w:type="dxa"/>
            <w:tcBorders>
              <w:top w:val="nil"/>
            </w:tcBorders>
          </w:tcPr>
          <w:p w:rsidR="0021655A" w:rsidRPr="00986D2E" w:rsidRDefault="0021655A" w:rsidP="00215216">
            <w:pPr>
              <w:pStyle w:val="Tablelist"/>
            </w:pPr>
            <w:r w:rsidRPr="00986D2E">
              <w:t>Motor Vehicles</w:t>
            </w:r>
          </w:p>
        </w:tc>
        <w:tc>
          <w:tcPr>
            <w:tcW w:w="990" w:type="dxa"/>
            <w:tcBorders>
              <w:top w:val="nil"/>
            </w:tcBorders>
          </w:tcPr>
          <w:p w:rsidR="0021655A" w:rsidRPr="00986D2E" w:rsidRDefault="0021655A" w:rsidP="00A72201">
            <w:pPr>
              <w:pStyle w:val="Tablelist"/>
              <w:jc w:val="right"/>
            </w:pPr>
            <w:r>
              <w:t>0.2</w:t>
            </w:r>
          </w:p>
        </w:tc>
        <w:tc>
          <w:tcPr>
            <w:tcW w:w="1170" w:type="dxa"/>
            <w:tcBorders>
              <w:top w:val="nil"/>
            </w:tcBorders>
          </w:tcPr>
          <w:p w:rsidR="0021655A" w:rsidRPr="00986D2E" w:rsidRDefault="0021655A" w:rsidP="00A72201">
            <w:pPr>
              <w:pStyle w:val="Tablelist"/>
              <w:jc w:val="right"/>
            </w:pPr>
            <w:r>
              <w:t>0.2</w:t>
            </w:r>
          </w:p>
        </w:tc>
        <w:tc>
          <w:tcPr>
            <w:tcW w:w="1260" w:type="dxa"/>
            <w:tcBorders>
              <w:top w:val="nil"/>
            </w:tcBorders>
          </w:tcPr>
          <w:p w:rsidR="0021655A" w:rsidRPr="00986D2E" w:rsidRDefault="0021655A" w:rsidP="00A72201">
            <w:pPr>
              <w:pStyle w:val="Tablelist"/>
              <w:jc w:val="right"/>
            </w:pPr>
            <w:r>
              <w:t>0.3</w:t>
            </w:r>
          </w:p>
        </w:tc>
        <w:tc>
          <w:tcPr>
            <w:tcW w:w="1080" w:type="dxa"/>
            <w:tcBorders>
              <w:top w:val="nil"/>
            </w:tcBorders>
          </w:tcPr>
          <w:p w:rsidR="0021655A" w:rsidRPr="00986D2E" w:rsidRDefault="0021655A" w:rsidP="00A72201">
            <w:pPr>
              <w:pStyle w:val="Tablelist"/>
              <w:jc w:val="right"/>
            </w:pPr>
            <w:r>
              <w:t>0.4</w:t>
            </w:r>
          </w:p>
        </w:tc>
        <w:tc>
          <w:tcPr>
            <w:tcW w:w="1008" w:type="dxa"/>
            <w:tcBorders>
              <w:top w:val="nil"/>
            </w:tcBorders>
          </w:tcPr>
          <w:p w:rsidR="0021655A" w:rsidRPr="00986D2E" w:rsidRDefault="0021655A" w:rsidP="00A72201">
            <w:pPr>
              <w:pStyle w:val="Tablelist"/>
              <w:jc w:val="right"/>
            </w:pPr>
            <w:r>
              <w:t>0.4</w:t>
            </w:r>
          </w:p>
        </w:tc>
      </w:tr>
      <w:tr w:rsidR="0021655A" w:rsidRPr="00BC00F7" w:rsidTr="000D46E1">
        <w:tc>
          <w:tcPr>
            <w:tcW w:w="4068" w:type="dxa"/>
            <w:tcBorders>
              <w:bottom w:val="single" w:sz="4" w:space="0" w:color="auto"/>
            </w:tcBorders>
          </w:tcPr>
          <w:p w:rsidR="0021655A" w:rsidRPr="00BC00F7" w:rsidRDefault="0021655A" w:rsidP="00215216">
            <w:pPr>
              <w:pStyle w:val="Tablelist"/>
            </w:pPr>
            <w:r w:rsidRPr="00BC00F7">
              <w:t>TOTAL SO CAPEX</w:t>
            </w:r>
          </w:p>
        </w:tc>
        <w:tc>
          <w:tcPr>
            <w:tcW w:w="990" w:type="dxa"/>
            <w:tcBorders>
              <w:bottom w:val="single" w:sz="4" w:space="0" w:color="auto"/>
            </w:tcBorders>
          </w:tcPr>
          <w:p w:rsidR="0021655A" w:rsidRPr="00BC00F7" w:rsidRDefault="0021655A" w:rsidP="00A72201">
            <w:pPr>
              <w:pStyle w:val="Tablelist"/>
              <w:jc w:val="right"/>
            </w:pPr>
            <w:r>
              <w:t>4.8</w:t>
            </w:r>
          </w:p>
        </w:tc>
        <w:tc>
          <w:tcPr>
            <w:tcW w:w="1170" w:type="dxa"/>
            <w:tcBorders>
              <w:bottom w:val="single" w:sz="4" w:space="0" w:color="auto"/>
            </w:tcBorders>
          </w:tcPr>
          <w:p w:rsidR="0021655A" w:rsidRPr="00BC00F7" w:rsidRDefault="0021655A" w:rsidP="00A72201">
            <w:pPr>
              <w:pStyle w:val="Tablelist"/>
              <w:jc w:val="right"/>
            </w:pPr>
            <w:r>
              <w:t>11.9</w:t>
            </w:r>
          </w:p>
        </w:tc>
        <w:tc>
          <w:tcPr>
            <w:tcW w:w="1260" w:type="dxa"/>
            <w:tcBorders>
              <w:bottom w:val="single" w:sz="4" w:space="0" w:color="auto"/>
            </w:tcBorders>
          </w:tcPr>
          <w:p w:rsidR="0021655A" w:rsidRPr="00BC00F7" w:rsidRDefault="0021655A" w:rsidP="00A72201">
            <w:pPr>
              <w:pStyle w:val="Tablelist"/>
              <w:jc w:val="right"/>
            </w:pPr>
            <w:r>
              <w:t>1.3</w:t>
            </w:r>
          </w:p>
        </w:tc>
        <w:tc>
          <w:tcPr>
            <w:tcW w:w="1080" w:type="dxa"/>
            <w:tcBorders>
              <w:bottom w:val="single" w:sz="4" w:space="0" w:color="auto"/>
            </w:tcBorders>
          </w:tcPr>
          <w:p w:rsidR="0021655A" w:rsidRPr="00BC00F7" w:rsidRDefault="0021655A" w:rsidP="00A72201">
            <w:pPr>
              <w:pStyle w:val="Tablelist"/>
              <w:jc w:val="right"/>
            </w:pPr>
            <w:r>
              <w:t>1.4</w:t>
            </w:r>
          </w:p>
        </w:tc>
        <w:tc>
          <w:tcPr>
            <w:tcW w:w="1008" w:type="dxa"/>
            <w:tcBorders>
              <w:bottom w:val="single" w:sz="4" w:space="0" w:color="auto"/>
            </w:tcBorders>
          </w:tcPr>
          <w:p w:rsidR="0021655A" w:rsidRPr="00BC00F7" w:rsidRDefault="0021655A" w:rsidP="00A72201">
            <w:pPr>
              <w:pStyle w:val="Tablelist"/>
              <w:jc w:val="right"/>
            </w:pPr>
            <w:r>
              <w:t>1.4</w:t>
            </w:r>
          </w:p>
        </w:tc>
      </w:tr>
      <w:tr w:rsidR="0021655A" w:rsidRPr="00986D2E" w:rsidTr="000D46E1">
        <w:tc>
          <w:tcPr>
            <w:tcW w:w="4068" w:type="dxa"/>
            <w:tcBorders>
              <w:bottom w:val="nil"/>
            </w:tcBorders>
          </w:tcPr>
          <w:p w:rsidR="0021655A" w:rsidRPr="00010861" w:rsidRDefault="0021655A" w:rsidP="00215216">
            <w:pPr>
              <w:pStyle w:val="Tablelist"/>
              <w:rPr>
                <w:u w:val="single"/>
              </w:rPr>
            </w:pPr>
            <w:r w:rsidRPr="00010861">
              <w:rPr>
                <w:u w:val="single"/>
              </w:rPr>
              <w:t>MO Capital Expenditure</w:t>
            </w:r>
          </w:p>
        </w:tc>
        <w:tc>
          <w:tcPr>
            <w:tcW w:w="990" w:type="dxa"/>
            <w:tcBorders>
              <w:bottom w:val="nil"/>
            </w:tcBorders>
          </w:tcPr>
          <w:p w:rsidR="0021655A" w:rsidRPr="00986D2E" w:rsidRDefault="0021655A" w:rsidP="00A72201">
            <w:pPr>
              <w:pStyle w:val="Tablelist"/>
              <w:jc w:val="right"/>
            </w:pPr>
          </w:p>
        </w:tc>
        <w:tc>
          <w:tcPr>
            <w:tcW w:w="1170" w:type="dxa"/>
            <w:tcBorders>
              <w:bottom w:val="nil"/>
            </w:tcBorders>
          </w:tcPr>
          <w:p w:rsidR="0021655A" w:rsidRPr="00986D2E" w:rsidRDefault="0021655A" w:rsidP="00A72201">
            <w:pPr>
              <w:pStyle w:val="Tablelist"/>
              <w:jc w:val="right"/>
            </w:pPr>
          </w:p>
        </w:tc>
        <w:tc>
          <w:tcPr>
            <w:tcW w:w="1260" w:type="dxa"/>
            <w:tcBorders>
              <w:bottom w:val="nil"/>
            </w:tcBorders>
          </w:tcPr>
          <w:p w:rsidR="0021655A" w:rsidRPr="00986D2E" w:rsidRDefault="0021655A" w:rsidP="00A72201">
            <w:pPr>
              <w:pStyle w:val="Tablelist"/>
              <w:jc w:val="right"/>
            </w:pPr>
            <w:r>
              <w:tab/>
            </w:r>
          </w:p>
        </w:tc>
        <w:tc>
          <w:tcPr>
            <w:tcW w:w="1080" w:type="dxa"/>
            <w:tcBorders>
              <w:bottom w:val="nil"/>
            </w:tcBorders>
          </w:tcPr>
          <w:p w:rsidR="0021655A" w:rsidRPr="00986D2E" w:rsidRDefault="0021655A" w:rsidP="00A72201">
            <w:pPr>
              <w:pStyle w:val="Tablelist"/>
              <w:jc w:val="right"/>
            </w:pPr>
          </w:p>
        </w:tc>
        <w:tc>
          <w:tcPr>
            <w:tcW w:w="1008" w:type="dxa"/>
            <w:tcBorders>
              <w:bottom w:val="nil"/>
            </w:tcBorders>
          </w:tcPr>
          <w:p w:rsidR="0021655A" w:rsidRPr="00986D2E" w:rsidRDefault="0021655A" w:rsidP="00A72201">
            <w:pPr>
              <w:pStyle w:val="Tablelist"/>
              <w:jc w:val="right"/>
            </w:pPr>
          </w:p>
        </w:tc>
      </w:tr>
      <w:tr w:rsidR="0021655A" w:rsidRPr="00986D2E" w:rsidTr="000D46E1">
        <w:tc>
          <w:tcPr>
            <w:tcW w:w="4068" w:type="dxa"/>
            <w:tcBorders>
              <w:top w:val="nil"/>
              <w:bottom w:val="nil"/>
            </w:tcBorders>
          </w:tcPr>
          <w:p w:rsidR="0021655A" w:rsidRPr="00986D2E" w:rsidRDefault="0021655A" w:rsidP="00215216">
            <w:pPr>
              <w:pStyle w:val="Tablelist"/>
            </w:pPr>
            <w:r w:rsidRPr="00986D2E">
              <w:t>Land &amp; Buildings</w:t>
            </w:r>
          </w:p>
        </w:tc>
        <w:tc>
          <w:tcPr>
            <w:tcW w:w="990" w:type="dxa"/>
            <w:tcBorders>
              <w:top w:val="nil"/>
              <w:bottom w:val="nil"/>
            </w:tcBorders>
          </w:tcPr>
          <w:p w:rsidR="0021655A" w:rsidRPr="00986D2E" w:rsidRDefault="0021655A" w:rsidP="00A72201">
            <w:pPr>
              <w:pStyle w:val="Tablelist"/>
              <w:jc w:val="right"/>
            </w:pPr>
          </w:p>
        </w:tc>
        <w:tc>
          <w:tcPr>
            <w:tcW w:w="1170" w:type="dxa"/>
            <w:tcBorders>
              <w:top w:val="nil"/>
              <w:bottom w:val="nil"/>
            </w:tcBorders>
          </w:tcPr>
          <w:p w:rsidR="0021655A" w:rsidRPr="00986D2E" w:rsidRDefault="0021655A" w:rsidP="00A72201">
            <w:pPr>
              <w:pStyle w:val="Tablelist"/>
              <w:jc w:val="right"/>
            </w:pPr>
          </w:p>
        </w:tc>
        <w:tc>
          <w:tcPr>
            <w:tcW w:w="1260" w:type="dxa"/>
            <w:tcBorders>
              <w:top w:val="nil"/>
              <w:bottom w:val="nil"/>
            </w:tcBorders>
          </w:tcPr>
          <w:p w:rsidR="0021655A" w:rsidRPr="00986D2E" w:rsidRDefault="0021655A" w:rsidP="00A72201">
            <w:pPr>
              <w:pStyle w:val="Tablelist"/>
              <w:jc w:val="right"/>
            </w:pPr>
          </w:p>
        </w:tc>
        <w:tc>
          <w:tcPr>
            <w:tcW w:w="1080" w:type="dxa"/>
            <w:tcBorders>
              <w:top w:val="nil"/>
              <w:bottom w:val="nil"/>
            </w:tcBorders>
          </w:tcPr>
          <w:p w:rsidR="0021655A" w:rsidRPr="00986D2E" w:rsidRDefault="0021655A" w:rsidP="00A72201">
            <w:pPr>
              <w:pStyle w:val="Tablelist"/>
              <w:jc w:val="right"/>
            </w:pPr>
          </w:p>
        </w:tc>
        <w:tc>
          <w:tcPr>
            <w:tcW w:w="1008" w:type="dxa"/>
            <w:tcBorders>
              <w:top w:val="nil"/>
              <w:bottom w:val="nil"/>
            </w:tcBorders>
          </w:tcPr>
          <w:p w:rsidR="0021655A" w:rsidRPr="00986D2E" w:rsidRDefault="0021655A" w:rsidP="00A72201">
            <w:pPr>
              <w:pStyle w:val="Tablelist"/>
              <w:jc w:val="right"/>
            </w:pPr>
          </w:p>
        </w:tc>
      </w:tr>
      <w:tr w:rsidR="0021655A" w:rsidRPr="00986D2E" w:rsidTr="000D46E1">
        <w:tc>
          <w:tcPr>
            <w:tcW w:w="4068" w:type="dxa"/>
            <w:tcBorders>
              <w:top w:val="nil"/>
              <w:bottom w:val="nil"/>
            </w:tcBorders>
          </w:tcPr>
          <w:p w:rsidR="0021655A" w:rsidRPr="00986D2E" w:rsidRDefault="0021655A" w:rsidP="00215216">
            <w:pPr>
              <w:pStyle w:val="Tablelist"/>
            </w:pPr>
            <w:r w:rsidRPr="00986D2E">
              <w:t>Office Tools, Furniture &amp; Equipment</w:t>
            </w:r>
          </w:p>
        </w:tc>
        <w:tc>
          <w:tcPr>
            <w:tcW w:w="990" w:type="dxa"/>
            <w:tcBorders>
              <w:top w:val="nil"/>
              <w:bottom w:val="nil"/>
            </w:tcBorders>
          </w:tcPr>
          <w:p w:rsidR="0021655A" w:rsidRPr="00986D2E" w:rsidRDefault="0021655A" w:rsidP="00A72201">
            <w:pPr>
              <w:pStyle w:val="Tablelist"/>
              <w:jc w:val="right"/>
            </w:pPr>
            <w:r>
              <w:t>0.2</w:t>
            </w:r>
          </w:p>
        </w:tc>
        <w:tc>
          <w:tcPr>
            <w:tcW w:w="1170" w:type="dxa"/>
            <w:tcBorders>
              <w:top w:val="nil"/>
              <w:bottom w:val="nil"/>
            </w:tcBorders>
          </w:tcPr>
          <w:p w:rsidR="0021655A" w:rsidRPr="00986D2E" w:rsidRDefault="0021655A" w:rsidP="00A72201">
            <w:pPr>
              <w:pStyle w:val="Tablelist"/>
              <w:jc w:val="right"/>
            </w:pPr>
            <w:r>
              <w:t>1.8</w:t>
            </w:r>
          </w:p>
        </w:tc>
        <w:tc>
          <w:tcPr>
            <w:tcW w:w="1260" w:type="dxa"/>
            <w:tcBorders>
              <w:top w:val="nil"/>
              <w:bottom w:val="nil"/>
            </w:tcBorders>
          </w:tcPr>
          <w:p w:rsidR="0021655A" w:rsidRPr="00986D2E" w:rsidRDefault="0021655A" w:rsidP="00A72201">
            <w:pPr>
              <w:pStyle w:val="Tablelist"/>
              <w:jc w:val="right"/>
            </w:pPr>
            <w:r>
              <w:t>0.1</w:t>
            </w:r>
          </w:p>
        </w:tc>
        <w:tc>
          <w:tcPr>
            <w:tcW w:w="1080" w:type="dxa"/>
            <w:tcBorders>
              <w:top w:val="nil"/>
              <w:bottom w:val="nil"/>
            </w:tcBorders>
          </w:tcPr>
          <w:p w:rsidR="0021655A" w:rsidRPr="00986D2E" w:rsidRDefault="0021655A" w:rsidP="00A72201">
            <w:pPr>
              <w:pStyle w:val="Tablelist"/>
              <w:jc w:val="right"/>
            </w:pPr>
            <w:r>
              <w:t>0.1</w:t>
            </w:r>
          </w:p>
        </w:tc>
        <w:tc>
          <w:tcPr>
            <w:tcW w:w="1008" w:type="dxa"/>
            <w:tcBorders>
              <w:top w:val="nil"/>
              <w:bottom w:val="nil"/>
            </w:tcBorders>
          </w:tcPr>
          <w:p w:rsidR="0021655A" w:rsidRPr="00986D2E" w:rsidRDefault="0021655A" w:rsidP="00A72201">
            <w:pPr>
              <w:pStyle w:val="Tablelist"/>
              <w:jc w:val="right"/>
            </w:pPr>
            <w:r>
              <w:t>0.1</w:t>
            </w:r>
          </w:p>
        </w:tc>
      </w:tr>
      <w:tr w:rsidR="0021655A" w:rsidRPr="00986D2E" w:rsidTr="000D46E1">
        <w:tc>
          <w:tcPr>
            <w:tcW w:w="4068" w:type="dxa"/>
            <w:tcBorders>
              <w:top w:val="nil"/>
            </w:tcBorders>
          </w:tcPr>
          <w:p w:rsidR="0021655A" w:rsidRPr="00986D2E" w:rsidRDefault="0021655A" w:rsidP="00215216">
            <w:pPr>
              <w:pStyle w:val="Tablelist"/>
            </w:pPr>
            <w:r w:rsidRPr="00986D2E">
              <w:t>Motor Vehicles</w:t>
            </w:r>
          </w:p>
        </w:tc>
        <w:tc>
          <w:tcPr>
            <w:tcW w:w="990" w:type="dxa"/>
            <w:tcBorders>
              <w:top w:val="nil"/>
            </w:tcBorders>
          </w:tcPr>
          <w:p w:rsidR="0021655A" w:rsidRPr="00986D2E" w:rsidRDefault="0021655A" w:rsidP="00A72201">
            <w:pPr>
              <w:pStyle w:val="Tablelist"/>
              <w:jc w:val="right"/>
            </w:pPr>
            <w:r>
              <w:t>0.1</w:t>
            </w:r>
          </w:p>
        </w:tc>
        <w:tc>
          <w:tcPr>
            <w:tcW w:w="1170" w:type="dxa"/>
            <w:tcBorders>
              <w:top w:val="nil"/>
            </w:tcBorders>
          </w:tcPr>
          <w:p w:rsidR="0021655A" w:rsidRPr="00986D2E" w:rsidRDefault="0021655A" w:rsidP="00A72201">
            <w:pPr>
              <w:pStyle w:val="Tablelist"/>
              <w:jc w:val="right"/>
            </w:pPr>
            <w:r>
              <w:t>0.1</w:t>
            </w:r>
          </w:p>
        </w:tc>
        <w:tc>
          <w:tcPr>
            <w:tcW w:w="1260" w:type="dxa"/>
            <w:tcBorders>
              <w:top w:val="nil"/>
            </w:tcBorders>
          </w:tcPr>
          <w:p w:rsidR="0021655A" w:rsidRPr="00986D2E" w:rsidRDefault="0021655A" w:rsidP="00A72201">
            <w:pPr>
              <w:pStyle w:val="Tablelist"/>
              <w:jc w:val="right"/>
            </w:pPr>
            <w:r>
              <w:t>0.1</w:t>
            </w:r>
          </w:p>
        </w:tc>
        <w:tc>
          <w:tcPr>
            <w:tcW w:w="1080" w:type="dxa"/>
            <w:tcBorders>
              <w:top w:val="nil"/>
            </w:tcBorders>
          </w:tcPr>
          <w:p w:rsidR="0021655A" w:rsidRPr="00986D2E" w:rsidRDefault="0021655A" w:rsidP="00A72201">
            <w:pPr>
              <w:pStyle w:val="Tablelist"/>
              <w:jc w:val="right"/>
            </w:pPr>
            <w:r>
              <w:t>0.1</w:t>
            </w:r>
          </w:p>
        </w:tc>
        <w:tc>
          <w:tcPr>
            <w:tcW w:w="1008" w:type="dxa"/>
            <w:tcBorders>
              <w:top w:val="nil"/>
            </w:tcBorders>
          </w:tcPr>
          <w:p w:rsidR="0021655A" w:rsidRPr="00986D2E" w:rsidRDefault="0021655A" w:rsidP="00A72201">
            <w:pPr>
              <w:pStyle w:val="Tablelist"/>
              <w:jc w:val="right"/>
            </w:pPr>
            <w:r>
              <w:t>0.1</w:t>
            </w:r>
          </w:p>
        </w:tc>
      </w:tr>
      <w:tr w:rsidR="0021655A" w:rsidRPr="00627F6B" w:rsidTr="000D46E1">
        <w:tc>
          <w:tcPr>
            <w:tcW w:w="4068" w:type="dxa"/>
          </w:tcPr>
          <w:p w:rsidR="0021655A" w:rsidRPr="00627F6B" w:rsidRDefault="0021655A" w:rsidP="00215216">
            <w:pPr>
              <w:pStyle w:val="Tablelist"/>
            </w:pPr>
            <w:r w:rsidRPr="00627F6B">
              <w:t>TOTAL MO CAPEX</w:t>
            </w:r>
          </w:p>
        </w:tc>
        <w:tc>
          <w:tcPr>
            <w:tcW w:w="990" w:type="dxa"/>
          </w:tcPr>
          <w:p w:rsidR="0021655A" w:rsidRPr="00627F6B" w:rsidRDefault="0021655A" w:rsidP="00A72201">
            <w:pPr>
              <w:pStyle w:val="Tablelist"/>
              <w:jc w:val="right"/>
            </w:pPr>
            <w:r>
              <w:t>0.3</w:t>
            </w:r>
          </w:p>
        </w:tc>
        <w:tc>
          <w:tcPr>
            <w:tcW w:w="1170" w:type="dxa"/>
          </w:tcPr>
          <w:p w:rsidR="0021655A" w:rsidRPr="00627F6B" w:rsidRDefault="0021655A" w:rsidP="00A72201">
            <w:pPr>
              <w:pStyle w:val="Tablelist"/>
              <w:jc w:val="right"/>
            </w:pPr>
            <w:r>
              <w:t>1.9</w:t>
            </w:r>
          </w:p>
        </w:tc>
        <w:tc>
          <w:tcPr>
            <w:tcW w:w="1260" w:type="dxa"/>
          </w:tcPr>
          <w:p w:rsidR="0021655A" w:rsidRPr="00627F6B" w:rsidRDefault="0021655A" w:rsidP="00A72201">
            <w:pPr>
              <w:pStyle w:val="Tablelist"/>
              <w:jc w:val="right"/>
            </w:pPr>
            <w:r>
              <w:t>0.2</w:t>
            </w:r>
          </w:p>
        </w:tc>
        <w:tc>
          <w:tcPr>
            <w:tcW w:w="1080" w:type="dxa"/>
          </w:tcPr>
          <w:p w:rsidR="0021655A" w:rsidRPr="00627F6B" w:rsidRDefault="0021655A" w:rsidP="00A72201">
            <w:pPr>
              <w:pStyle w:val="Tablelist"/>
              <w:jc w:val="right"/>
            </w:pPr>
            <w:r>
              <w:t>0.2</w:t>
            </w:r>
          </w:p>
        </w:tc>
        <w:tc>
          <w:tcPr>
            <w:tcW w:w="1008" w:type="dxa"/>
          </w:tcPr>
          <w:p w:rsidR="0021655A" w:rsidRPr="00627F6B" w:rsidRDefault="0021655A" w:rsidP="00A72201">
            <w:pPr>
              <w:pStyle w:val="Tablelist"/>
              <w:jc w:val="right"/>
            </w:pPr>
            <w:r>
              <w:t>0.2</w:t>
            </w:r>
          </w:p>
        </w:tc>
      </w:tr>
      <w:tr w:rsidR="0021655A" w:rsidRPr="00627F6B" w:rsidTr="000D46E1">
        <w:tc>
          <w:tcPr>
            <w:tcW w:w="4068" w:type="dxa"/>
            <w:shd w:val="pct10" w:color="auto" w:fill="auto"/>
          </w:tcPr>
          <w:p w:rsidR="0021655A" w:rsidRPr="00627F6B" w:rsidRDefault="0021655A" w:rsidP="00215216">
            <w:pPr>
              <w:pStyle w:val="Tablelist"/>
            </w:pPr>
            <w:r w:rsidRPr="00627F6B">
              <w:t>T</w:t>
            </w:r>
            <w:r>
              <w:t>OTAL</w:t>
            </w:r>
            <w:r w:rsidRPr="00627F6B">
              <w:t xml:space="preserve"> CAPEX</w:t>
            </w:r>
            <w:r>
              <w:t xml:space="preserve"> (NAIRA)</w:t>
            </w:r>
          </w:p>
        </w:tc>
        <w:tc>
          <w:tcPr>
            <w:tcW w:w="990" w:type="dxa"/>
            <w:shd w:val="pct10" w:color="auto" w:fill="auto"/>
          </w:tcPr>
          <w:p w:rsidR="0021655A" w:rsidRPr="00627F6B" w:rsidRDefault="0021655A" w:rsidP="00A72201">
            <w:pPr>
              <w:pStyle w:val="Tablelist"/>
              <w:jc w:val="right"/>
            </w:pPr>
            <w:r>
              <w:t>194.0</w:t>
            </w:r>
          </w:p>
        </w:tc>
        <w:tc>
          <w:tcPr>
            <w:tcW w:w="1170" w:type="dxa"/>
            <w:shd w:val="pct10" w:color="auto" w:fill="auto"/>
          </w:tcPr>
          <w:p w:rsidR="0021655A" w:rsidRPr="00627F6B" w:rsidRDefault="0021655A" w:rsidP="00A72201">
            <w:pPr>
              <w:pStyle w:val="Tablelist"/>
              <w:jc w:val="right"/>
            </w:pPr>
            <w:r>
              <w:t>390.1</w:t>
            </w:r>
          </w:p>
        </w:tc>
        <w:tc>
          <w:tcPr>
            <w:tcW w:w="1260" w:type="dxa"/>
            <w:shd w:val="pct10" w:color="auto" w:fill="auto"/>
          </w:tcPr>
          <w:p w:rsidR="0021655A" w:rsidRPr="00627F6B" w:rsidRDefault="0021655A" w:rsidP="00A72201">
            <w:pPr>
              <w:pStyle w:val="Tablelist"/>
              <w:jc w:val="right"/>
            </w:pPr>
            <w:r>
              <w:t>336.6</w:t>
            </w:r>
          </w:p>
        </w:tc>
        <w:tc>
          <w:tcPr>
            <w:tcW w:w="1080" w:type="dxa"/>
            <w:shd w:val="pct10" w:color="auto" w:fill="auto"/>
          </w:tcPr>
          <w:p w:rsidR="0021655A" w:rsidRPr="00627F6B" w:rsidRDefault="0021655A" w:rsidP="00A72201">
            <w:pPr>
              <w:pStyle w:val="Tablelist"/>
              <w:jc w:val="right"/>
            </w:pPr>
            <w:r>
              <w:t>215.8</w:t>
            </w:r>
          </w:p>
        </w:tc>
        <w:tc>
          <w:tcPr>
            <w:tcW w:w="1008" w:type="dxa"/>
            <w:shd w:val="pct10" w:color="auto" w:fill="auto"/>
          </w:tcPr>
          <w:p w:rsidR="0021655A" w:rsidRPr="00627F6B" w:rsidRDefault="0021655A" w:rsidP="00A72201">
            <w:pPr>
              <w:pStyle w:val="Tablelist"/>
              <w:jc w:val="right"/>
            </w:pPr>
            <w:r>
              <w:t>187.0</w:t>
            </w:r>
          </w:p>
        </w:tc>
      </w:tr>
      <w:tr w:rsidR="0021655A" w:rsidRPr="00F0673C" w:rsidTr="000D46E1">
        <w:tc>
          <w:tcPr>
            <w:tcW w:w="4068" w:type="dxa"/>
          </w:tcPr>
          <w:p w:rsidR="0021655A" w:rsidRPr="00F0673C" w:rsidRDefault="0021655A" w:rsidP="00215216">
            <w:pPr>
              <w:pStyle w:val="Tablelist"/>
            </w:pPr>
            <w:r>
              <w:t>Cum</w:t>
            </w:r>
            <w:r w:rsidRPr="00F0673C">
              <w:t>ulative CAPEX</w:t>
            </w:r>
          </w:p>
        </w:tc>
        <w:tc>
          <w:tcPr>
            <w:tcW w:w="990" w:type="dxa"/>
          </w:tcPr>
          <w:p w:rsidR="0021655A" w:rsidRPr="00F0673C" w:rsidRDefault="0021655A" w:rsidP="00A72201">
            <w:pPr>
              <w:pStyle w:val="Tablelist"/>
              <w:jc w:val="right"/>
            </w:pPr>
            <w:r w:rsidRPr="00F0673C">
              <w:t>194</w:t>
            </w:r>
          </w:p>
        </w:tc>
        <w:tc>
          <w:tcPr>
            <w:tcW w:w="1170" w:type="dxa"/>
          </w:tcPr>
          <w:p w:rsidR="0021655A" w:rsidRPr="00F0673C" w:rsidRDefault="0021655A" w:rsidP="00A72201">
            <w:pPr>
              <w:pStyle w:val="Tablelist"/>
              <w:jc w:val="right"/>
            </w:pPr>
            <w:r w:rsidRPr="00F0673C">
              <w:t>584</w:t>
            </w:r>
          </w:p>
        </w:tc>
        <w:tc>
          <w:tcPr>
            <w:tcW w:w="1260" w:type="dxa"/>
          </w:tcPr>
          <w:p w:rsidR="0021655A" w:rsidRPr="00F0673C" w:rsidRDefault="0021655A" w:rsidP="00A72201">
            <w:pPr>
              <w:pStyle w:val="Tablelist"/>
              <w:jc w:val="right"/>
            </w:pPr>
            <w:r w:rsidRPr="00F0673C">
              <w:t>921</w:t>
            </w:r>
          </w:p>
        </w:tc>
        <w:tc>
          <w:tcPr>
            <w:tcW w:w="1080" w:type="dxa"/>
          </w:tcPr>
          <w:p w:rsidR="0021655A" w:rsidRPr="00F0673C" w:rsidRDefault="0021655A" w:rsidP="00A72201">
            <w:pPr>
              <w:pStyle w:val="Tablelist"/>
              <w:jc w:val="right"/>
            </w:pPr>
            <w:r w:rsidRPr="00F0673C">
              <w:t>1,137</w:t>
            </w:r>
          </w:p>
        </w:tc>
        <w:tc>
          <w:tcPr>
            <w:tcW w:w="1008" w:type="dxa"/>
          </w:tcPr>
          <w:p w:rsidR="0021655A" w:rsidRPr="00F0673C" w:rsidRDefault="0021655A" w:rsidP="00A72201">
            <w:pPr>
              <w:pStyle w:val="Tablelist"/>
              <w:jc w:val="right"/>
            </w:pPr>
            <w:r w:rsidRPr="00F0673C">
              <w:t>1,324</w:t>
            </w:r>
          </w:p>
        </w:tc>
      </w:tr>
    </w:tbl>
    <w:p w:rsidR="0021655A" w:rsidRDefault="0021655A" w:rsidP="00215216"/>
    <w:p w:rsidR="0021655A" w:rsidRDefault="00283E70" w:rsidP="00215216">
      <w:fldSimple w:instr=" REF _Ref379820648 \h  \* MERGEFORMAT ">
        <w:r w:rsidR="002F19E0">
          <w:t xml:space="preserve">Figure </w:t>
        </w:r>
        <w:r w:rsidR="002F19E0">
          <w:rPr>
            <w:noProof/>
          </w:rPr>
          <w:t>2</w:t>
        </w:r>
      </w:fldSimple>
      <w:r w:rsidR="0021655A">
        <w:t xml:space="preserve"> provides a bar chart of the capital expenditure budget projection by Business Unit.</w:t>
      </w:r>
    </w:p>
    <w:p w:rsidR="0021655A" w:rsidRDefault="0021655A" w:rsidP="00215216">
      <w:r>
        <w:rPr>
          <w:noProof/>
          <w:lang w:val="en-US" w:eastAsia="en-US"/>
        </w:rPr>
        <w:lastRenderedPageBreak/>
        <w:drawing>
          <wp:inline distT="0" distB="0" distL="0" distR="0">
            <wp:extent cx="5492337" cy="4203865"/>
            <wp:effectExtent l="0" t="0" r="13335" b="25400"/>
            <wp:docPr id="10"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1655A" w:rsidRDefault="0021655A" w:rsidP="00215216">
      <w:pPr>
        <w:pStyle w:val="Caption"/>
      </w:pPr>
      <w:bookmarkStart w:id="15" w:name="_Ref379820648"/>
      <w:r>
        <w:t xml:space="preserve">Figure </w:t>
      </w:r>
      <w:fldSimple w:instr=" SEQ Figure \* ARABIC ">
        <w:r w:rsidR="002F19E0">
          <w:rPr>
            <w:noProof/>
          </w:rPr>
          <w:t>2</w:t>
        </w:r>
      </w:fldSimple>
      <w:bookmarkEnd w:id="15"/>
      <w:r>
        <w:t xml:space="preserve">: Capital </w:t>
      </w:r>
      <w:r w:rsidR="005364E8">
        <w:t>E</w:t>
      </w:r>
      <w:r>
        <w:t xml:space="preserve">xpenditure </w:t>
      </w:r>
      <w:r w:rsidR="005364E8">
        <w:t>Budgets</w:t>
      </w:r>
      <w:r>
        <w:t xml:space="preserve"> </w:t>
      </w:r>
      <w:r w:rsidR="005364E8">
        <w:t>for</w:t>
      </w:r>
      <w:r>
        <w:t xml:space="preserve"> B</w:t>
      </w:r>
      <w:r w:rsidR="005364E8">
        <w:t>Us for</w:t>
      </w:r>
      <w:r>
        <w:t xml:space="preserve"> 2014-18 in $Million 2013 USD</w:t>
      </w:r>
    </w:p>
    <w:p w:rsidR="0021655A" w:rsidRDefault="0021655A" w:rsidP="00215216"/>
    <w:p w:rsidR="000C61C9" w:rsidRDefault="00283E70" w:rsidP="00215216">
      <w:r>
        <w:fldChar w:fldCharType="begin"/>
      </w:r>
      <w:r w:rsidR="007D013B">
        <w:instrText xml:space="preserve"> REF _Ref379820768 \h </w:instrText>
      </w:r>
      <w:r>
        <w:fldChar w:fldCharType="separate"/>
      </w:r>
      <w:r w:rsidR="002F19E0">
        <w:t xml:space="preserve">Table </w:t>
      </w:r>
      <w:r w:rsidR="002F19E0">
        <w:rPr>
          <w:noProof/>
        </w:rPr>
        <w:t>6</w:t>
      </w:r>
      <w:r>
        <w:fldChar w:fldCharType="end"/>
      </w:r>
      <w:r w:rsidR="000C61C9">
        <w:t xml:space="preserve"> shows the total capital funding requirement for TCN for 2014-5, excluding items to be funded from internal resources (i.e. office tools and equipment, motor vehicles).</w:t>
      </w:r>
    </w:p>
    <w:p w:rsidR="000C61C9" w:rsidRDefault="000C61C9" w:rsidP="00215216">
      <w:pPr>
        <w:pStyle w:val="Caption"/>
      </w:pPr>
      <w:bookmarkStart w:id="16" w:name="_Ref379820768"/>
      <w:r>
        <w:t xml:space="preserve">Table </w:t>
      </w:r>
      <w:fldSimple w:instr=" SEQ Table \* ARABIC ">
        <w:r w:rsidR="002F19E0">
          <w:rPr>
            <w:noProof/>
          </w:rPr>
          <w:t>6</w:t>
        </w:r>
      </w:fldSimple>
      <w:bookmarkEnd w:id="16"/>
      <w:r>
        <w:t>: TCN T</w:t>
      </w:r>
      <w:r w:rsidRPr="00812FFA">
        <w:t xml:space="preserve">otal </w:t>
      </w:r>
      <w:r>
        <w:t>C</w:t>
      </w:r>
      <w:r w:rsidRPr="00812FFA">
        <w:t xml:space="preserve">apital </w:t>
      </w:r>
      <w:r>
        <w:t>F</w:t>
      </w:r>
      <w:r w:rsidRPr="00812FFA">
        <w:t xml:space="preserve">unding </w:t>
      </w:r>
      <w:r>
        <w:t>R</w:t>
      </w:r>
      <w:r w:rsidRPr="00812FFA">
        <w:t>equirement</w:t>
      </w:r>
      <w:r>
        <w:t xml:space="preserve"> for 2014-15 </w:t>
      </w:r>
    </w:p>
    <w:tbl>
      <w:tblPr>
        <w:tblStyle w:val="TableGrid"/>
        <w:tblW w:w="5760" w:type="dxa"/>
        <w:jc w:val="center"/>
        <w:tblLook w:val="04A0"/>
      </w:tblPr>
      <w:tblGrid>
        <w:gridCol w:w="1355"/>
        <w:gridCol w:w="2212"/>
        <w:gridCol w:w="2193"/>
      </w:tblGrid>
      <w:tr w:rsidR="000C61C9" w:rsidRPr="001D0E30" w:rsidTr="005364E8">
        <w:trPr>
          <w:jc w:val="center"/>
        </w:trPr>
        <w:tc>
          <w:tcPr>
            <w:tcW w:w="1514" w:type="dxa"/>
            <w:tcBorders>
              <w:bottom w:val="nil"/>
            </w:tcBorders>
          </w:tcPr>
          <w:p w:rsidR="000C61C9" w:rsidRPr="001D0E30" w:rsidRDefault="000C61C9" w:rsidP="00215216">
            <w:pPr>
              <w:pStyle w:val="Tablelist"/>
              <w:rPr>
                <w:b/>
              </w:rPr>
            </w:pPr>
            <w:r w:rsidRPr="001D0E30">
              <w:rPr>
                <w:b/>
              </w:rPr>
              <w:t>Year</w:t>
            </w:r>
          </w:p>
        </w:tc>
        <w:tc>
          <w:tcPr>
            <w:tcW w:w="5056" w:type="dxa"/>
            <w:gridSpan w:val="2"/>
          </w:tcPr>
          <w:p w:rsidR="000C61C9" w:rsidRPr="001D0E30" w:rsidRDefault="000C61C9" w:rsidP="001D0E30">
            <w:pPr>
              <w:pStyle w:val="Tablelist"/>
              <w:jc w:val="center"/>
              <w:rPr>
                <w:b/>
              </w:rPr>
            </w:pPr>
            <w:r w:rsidRPr="001D0E30">
              <w:rPr>
                <w:b/>
              </w:rPr>
              <w:t>Capital Funding Requirement</w:t>
            </w:r>
          </w:p>
        </w:tc>
      </w:tr>
      <w:tr w:rsidR="000C61C9" w:rsidRPr="00E33977" w:rsidTr="005364E8">
        <w:trPr>
          <w:jc w:val="center"/>
        </w:trPr>
        <w:tc>
          <w:tcPr>
            <w:tcW w:w="1514" w:type="dxa"/>
            <w:tcBorders>
              <w:top w:val="nil"/>
              <w:bottom w:val="single" w:sz="4" w:space="0" w:color="auto"/>
            </w:tcBorders>
          </w:tcPr>
          <w:p w:rsidR="000C61C9" w:rsidRPr="00E33977" w:rsidRDefault="000C61C9" w:rsidP="00215216">
            <w:pPr>
              <w:pStyle w:val="Tablelist"/>
            </w:pPr>
          </w:p>
        </w:tc>
        <w:tc>
          <w:tcPr>
            <w:tcW w:w="2522" w:type="dxa"/>
            <w:tcBorders>
              <w:bottom w:val="single" w:sz="4" w:space="0" w:color="auto"/>
            </w:tcBorders>
          </w:tcPr>
          <w:p w:rsidR="000C61C9" w:rsidRPr="00E33977" w:rsidRDefault="000C61C9" w:rsidP="001D0E30">
            <w:pPr>
              <w:pStyle w:val="Tablelist"/>
              <w:jc w:val="center"/>
            </w:pPr>
            <w:r>
              <w:t>USD Millions ($)</w:t>
            </w:r>
          </w:p>
        </w:tc>
        <w:tc>
          <w:tcPr>
            <w:tcW w:w="2534" w:type="dxa"/>
            <w:tcBorders>
              <w:bottom w:val="single" w:sz="4" w:space="0" w:color="auto"/>
            </w:tcBorders>
            <w:shd w:val="clear" w:color="auto" w:fill="DDD9C3" w:themeFill="background2" w:themeFillShade="E6"/>
          </w:tcPr>
          <w:p w:rsidR="000C61C9" w:rsidRPr="00E33977" w:rsidRDefault="000C61C9" w:rsidP="001D0E30">
            <w:pPr>
              <w:pStyle w:val="Tablelist"/>
              <w:jc w:val="center"/>
            </w:pPr>
            <w:r w:rsidRPr="00E33977">
              <w:t>Billion Naira</w:t>
            </w:r>
            <w:r>
              <w:t xml:space="preserve"> (N)</w:t>
            </w:r>
          </w:p>
        </w:tc>
      </w:tr>
      <w:tr w:rsidR="000C61C9" w:rsidRPr="00E33977" w:rsidTr="005364E8">
        <w:trPr>
          <w:jc w:val="center"/>
        </w:trPr>
        <w:tc>
          <w:tcPr>
            <w:tcW w:w="1514" w:type="dxa"/>
            <w:tcBorders>
              <w:bottom w:val="nil"/>
            </w:tcBorders>
          </w:tcPr>
          <w:p w:rsidR="000C61C9" w:rsidRPr="00E33977" w:rsidRDefault="000C61C9" w:rsidP="00215216">
            <w:pPr>
              <w:pStyle w:val="Tablelist"/>
            </w:pPr>
            <w:r>
              <w:t>2014</w:t>
            </w:r>
          </w:p>
        </w:tc>
        <w:tc>
          <w:tcPr>
            <w:tcW w:w="2522" w:type="dxa"/>
            <w:tcBorders>
              <w:bottom w:val="nil"/>
            </w:tcBorders>
          </w:tcPr>
          <w:p w:rsidR="000C61C9" w:rsidRPr="00E33977" w:rsidRDefault="000C61C9" w:rsidP="001D0E30">
            <w:pPr>
              <w:pStyle w:val="Tablelist"/>
              <w:jc w:val="center"/>
            </w:pPr>
            <w:r w:rsidRPr="00E33977">
              <w:t>1,2</w:t>
            </w:r>
            <w:r>
              <w:t>12</w:t>
            </w:r>
          </w:p>
        </w:tc>
        <w:tc>
          <w:tcPr>
            <w:tcW w:w="2534" w:type="dxa"/>
            <w:tcBorders>
              <w:bottom w:val="nil"/>
            </w:tcBorders>
            <w:shd w:val="clear" w:color="auto" w:fill="DDD9C3" w:themeFill="background2" w:themeFillShade="E6"/>
          </w:tcPr>
          <w:p w:rsidR="000C61C9" w:rsidRPr="00E33977" w:rsidRDefault="000C61C9" w:rsidP="001D0E30">
            <w:pPr>
              <w:pStyle w:val="Tablelist"/>
              <w:jc w:val="center"/>
            </w:pPr>
            <w:r w:rsidRPr="00E33977">
              <w:t>18</w:t>
            </w:r>
            <w:r>
              <w:t>9</w:t>
            </w:r>
          </w:p>
        </w:tc>
      </w:tr>
      <w:tr w:rsidR="000C61C9" w:rsidRPr="00E33977" w:rsidTr="005364E8">
        <w:trPr>
          <w:jc w:val="center"/>
        </w:trPr>
        <w:tc>
          <w:tcPr>
            <w:tcW w:w="1514" w:type="dxa"/>
            <w:tcBorders>
              <w:top w:val="nil"/>
            </w:tcBorders>
          </w:tcPr>
          <w:p w:rsidR="000C61C9" w:rsidRPr="00E33977" w:rsidRDefault="000C61C9" w:rsidP="00215216">
            <w:pPr>
              <w:pStyle w:val="Tablelist"/>
            </w:pPr>
            <w:r>
              <w:t>2015</w:t>
            </w:r>
          </w:p>
        </w:tc>
        <w:tc>
          <w:tcPr>
            <w:tcW w:w="2522" w:type="dxa"/>
            <w:tcBorders>
              <w:top w:val="nil"/>
            </w:tcBorders>
          </w:tcPr>
          <w:p w:rsidR="000C61C9" w:rsidRPr="00E33977" w:rsidRDefault="000C61C9" w:rsidP="001D0E30">
            <w:pPr>
              <w:pStyle w:val="Tablelist"/>
              <w:jc w:val="center"/>
            </w:pPr>
            <w:r w:rsidRPr="00E33977">
              <w:t>2,5</w:t>
            </w:r>
            <w:r>
              <w:t>5</w:t>
            </w:r>
            <w:r w:rsidRPr="00E33977">
              <w:t>6</w:t>
            </w:r>
          </w:p>
        </w:tc>
        <w:tc>
          <w:tcPr>
            <w:tcW w:w="2534" w:type="dxa"/>
            <w:tcBorders>
              <w:top w:val="nil"/>
            </w:tcBorders>
            <w:shd w:val="clear" w:color="auto" w:fill="DDD9C3" w:themeFill="background2" w:themeFillShade="E6"/>
          </w:tcPr>
          <w:p w:rsidR="000C61C9" w:rsidRPr="00E33977" w:rsidRDefault="000C61C9" w:rsidP="001D0E30">
            <w:pPr>
              <w:pStyle w:val="Tablelist"/>
              <w:jc w:val="center"/>
            </w:pPr>
            <w:r>
              <w:t>411</w:t>
            </w:r>
          </w:p>
        </w:tc>
      </w:tr>
    </w:tbl>
    <w:p w:rsidR="000C61C9" w:rsidRDefault="000C61C9" w:rsidP="00215216"/>
    <w:p w:rsidR="000D46E1" w:rsidRDefault="000D46E1" w:rsidP="00215216">
      <w:pPr>
        <w:pStyle w:val="Heading2"/>
      </w:pPr>
      <w:bookmarkStart w:id="17" w:name="_Toc382658225"/>
      <w:r>
        <w:t>Existing and Potential Sources of Capital Funding</w:t>
      </w:r>
      <w:bookmarkEnd w:id="17"/>
    </w:p>
    <w:p w:rsidR="000C61C9" w:rsidRDefault="00283E70" w:rsidP="00215216">
      <w:r>
        <w:fldChar w:fldCharType="begin"/>
      </w:r>
      <w:r w:rsidR="007D013B">
        <w:instrText xml:space="preserve"> REF _Ref379820837 \h </w:instrText>
      </w:r>
      <w:r>
        <w:fldChar w:fldCharType="separate"/>
      </w:r>
      <w:r w:rsidR="002F19E0">
        <w:t xml:space="preserve">Table </w:t>
      </w:r>
      <w:r w:rsidR="002F19E0">
        <w:rPr>
          <w:noProof/>
        </w:rPr>
        <w:t>7</w:t>
      </w:r>
      <w:r>
        <w:fldChar w:fldCharType="end"/>
      </w:r>
      <w:r w:rsidR="000C61C9">
        <w:t xml:space="preserve"> shows existing and potential sources of funding to meet the capital funding requirement. </w:t>
      </w:r>
    </w:p>
    <w:p w:rsidR="000C61C9" w:rsidRDefault="000C61C9" w:rsidP="00215216">
      <w:pPr>
        <w:pStyle w:val="Caption"/>
      </w:pPr>
      <w:bookmarkStart w:id="18" w:name="_Ref379820837"/>
      <w:r>
        <w:lastRenderedPageBreak/>
        <w:t xml:space="preserve">Table </w:t>
      </w:r>
      <w:fldSimple w:instr=" SEQ Table \* ARABIC ">
        <w:r w:rsidR="002F19E0">
          <w:rPr>
            <w:noProof/>
          </w:rPr>
          <w:t>7</w:t>
        </w:r>
      </w:fldSimple>
      <w:bookmarkEnd w:id="18"/>
      <w:r>
        <w:t>: E</w:t>
      </w:r>
      <w:r w:rsidRPr="00812FFA">
        <w:t xml:space="preserve">xisting and </w:t>
      </w:r>
      <w:r>
        <w:t>P</w:t>
      </w:r>
      <w:r w:rsidRPr="00812FFA">
        <w:t xml:space="preserve">otential </w:t>
      </w:r>
      <w:r>
        <w:t>S</w:t>
      </w:r>
      <w:r w:rsidRPr="00812FFA">
        <w:t xml:space="preserve">ources of </w:t>
      </w:r>
      <w:r>
        <w:t>Capital F</w:t>
      </w:r>
      <w:r w:rsidRPr="00812FFA">
        <w:t>unding</w:t>
      </w:r>
      <w:r>
        <w:t xml:space="preserve"> for TCN</w:t>
      </w:r>
    </w:p>
    <w:tbl>
      <w:tblPr>
        <w:tblStyle w:val="TableGrid"/>
        <w:tblW w:w="0" w:type="auto"/>
        <w:jc w:val="center"/>
        <w:tblInd w:w="-222" w:type="dxa"/>
        <w:tblLook w:val="04A0"/>
      </w:tblPr>
      <w:tblGrid>
        <w:gridCol w:w="4368"/>
        <w:gridCol w:w="1866"/>
        <w:gridCol w:w="1824"/>
      </w:tblGrid>
      <w:tr w:rsidR="000C61C9" w:rsidRPr="001D0E30" w:rsidTr="005364E8">
        <w:trPr>
          <w:jc w:val="center"/>
        </w:trPr>
        <w:tc>
          <w:tcPr>
            <w:tcW w:w="4368" w:type="dxa"/>
            <w:tcBorders>
              <w:bottom w:val="nil"/>
            </w:tcBorders>
          </w:tcPr>
          <w:p w:rsidR="000C61C9" w:rsidRPr="001D0E30" w:rsidRDefault="005364E8" w:rsidP="00215216">
            <w:pPr>
              <w:pStyle w:val="Tablelist"/>
              <w:rPr>
                <w:b/>
              </w:rPr>
            </w:pPr>
            <w:r w:rsidRPr="001D0E30">
              <w:rPr>
                <w:b/>
              </w:rPr>
              <w:t>Source</w:t>
            </w:r>
          </w:p>
        </w:tc>
        <w:tc>
          <w:tcPr>
            <w:tcW w:w="3690" w:type="dxa"/>
            <w:gridSpan w:val="2"/>
          </w:tcPr>
          <w:p w:rsidR="000C61C9" w:rsidRPr="001D0E30" w:rsidRDefault="000C61C9" w:rsidP="00215216">
            <w:pPr>
              <w:pStyle w:val="Tablelist"/>
              <w:rPr>
                <w:b/>
              </w:rPr>
            </w:pPr>
            <w:r w:rsidRPr="001D0E30">
              <w:rPr>
                <w:b/>
              </w:rPr>
              <w:t>Capital Funding</w:t>
            </w:r>
          </w:p>
        </w:tc>
      </w:tr>
      <w:tr w:rsidR="000C61C9" w:rsidRPr="00E33977" w:rsidTr="005364E8">
        <w:trPr>
          <w:jc w:val="center"/>
        </w:trPr>
        <w:tc>
          <w:tcPr>
            <w:tcW w:w="4368" w:type="dxa"/>
            <w:tcBorders>
              <w:top w:val="nil"/>
              <w:bottom w:val="single" w:sz="4" w:space="0" w:color="auto"/>
            </w:tcBorders>
          </w:tcPr>
          <w:p w:rsidR="000C61C9" w:rsidRPr="00E33977" w:rsidRDefault="000C61C9" w:rsidP="00215216">
            <w:pPr>
              <w:pStyle w:val="Tablelist"/>
            </w:pPr>
          </w:p>
        </w:tc>
        <w:tc>
          <w:tcPr>
            <w:tcW w:w="1866" w:type="dxa"/>
            <w:tcBorders>
              <w:bottom w:val="single" w:sz="4" w:space="0" w:color="auto"/>
            </w:tcBorders>
          </w:tcPr>
          <w:p w:rsidR="000C61C9" w:rsidRPr="00E33977" w:rsidRDefault="000C61C9" w:rsidP="001D0E30">
            <w:pPr>
              <w:pStyle w:val="Tablelist"/>
              <w:jc w:val="center"/>
            </w:pPr>
            <w:r>
              <w:t>USD Millions ($)</w:t>
            </w:r>
          </w:p>
        </w:tc>
        <w:tc>
          <w:tcPr>
            <w:tcW w:w="1824" w:type="dxa"/>
            <w:tcBorders>
              <w:bottom w:val="single" w:sz="4" w:space="0" w:color="auto"/>
            </w:tcBorders>
          </w:tcPr>
          <w:p w:rsidR="000C61C9" w:rsidRPr="00E33977" w:rsidRDefault="000C61C9" w:rsidP="001D0E30">
            <w:pPr>
              <w:pStyle w:val="Tablelist"/>
              <w:jc w:val="center"/>
            </w:pPr>
            <w:r w:rsidRPr="00E33977">
              <w:t>Billion Naira</w:t>
            </w:r>
            <w:r>
              <w:t xml:space="preserve"> (N)</w:t>
            </w:r>
          </w:p>
        </w:tc>
      </w:tr>
      <w:tr w:rsidR="000C61C9" w:rsidRPr="00E33977" w:rsidTr="005364E8">
        <w:trPr>
          <w:jc w:val="center"/>
        </w:trPr>
        <w:tc>
          <w:tcPr>
            <w:tcW w:w="4368" w:type="dxa"/>
            <w:tcBorders>
              <w:bottom w:val="nil"/>
            </w:tcBorders>
          </w:tcPr>
          <w:p w:rsidR="000C61C9" w:rsidRPr="00E33977" w:rsidRDefault="000C61C9" w:rsidP="00215216">
            <w:pPr>
              <w:pStyle w:val="Tablelist"/>
            </w:pPr>
            <w:r>
              <w:t xml:space="preserve">Secured debt funding </w:t>
            </w:r>
          </w:p>
        </w:tc>
        <w:tc>
          <w:tcPr>
            <w:tcW w:w="1866" w:type="dxa"/>
            <w:tcBorders>
              <w:bottom w:val="nil"/>
            </w:tcBorders>
          </w:tcPr>
          <w:p w:rsidR="000C61C9" w:rsidRPr="00E33977" w:rsidRDefault="000C61C9" w:rsidP="001D0E30">
            <w:pPr>
              <w:pStyle w:val="Tablelist"/>
              <w:jc w:val="center"/>
            </w:pPr>
            <w:r>
              <w:t>623</w:t>
            </w:r>
          </w:p>
        </w:tc>
        <w:tc>
          <w:tcPr>
            <w:tcW w:w="1824" w:type="dxa"/>
            <w:tcBorders>
              <w:bottom w:val="nil"/>
            </w:tcBorders>
          </w:tcPr>
          <w:p w:rsidR="000C61C9" w:rsidRPr="00E33977" w:rsidRDefault="000C61C9" w:rsidP="001D0E30">
            <w:pPr>
              <w:pStyle w:val="Tablelist"/>
              <w:jc w:val="center"/>
            </w:pPr>
            <w:r>
              <w:t>103</w:t>
            </w:r>
          </w:p>
        </w:tc>
      </w:tr>
      <w:tr w:rsidR="000C61C9" w:rsidRPr="00E33977" w:rsidTr="005364E8">
        <w:trPr>
          <w:jc w:val="center"/>
        </w:trPr>
        <w:tc>
          <w:tcPr>
            <w:tcW w:w="4368" w:type="dxa"/>
            <w:tcBorders>
              <w:top w:val="nil"/>
              <w:bottom w:val="nil"/>
            </w:tcBorders>
          </w:tcPr>
          <w:p w:rsidR="000C61C9" w:rsidRPr="00E33977" w:rsidRDefault="000C61C9" w:rsidP="00215216">
            <w:pPr>
              <w:pStyle w:val="Tablelist"/>
            </w:pPr>
            <w:r>
              <w:t xml:space="preserve">FGN budget appropriations </w:t>
            </w:r>
          </w:p>
        </w:tc>
        <w:tc>
          <w:tcPr>
            <w:tcW w:w="1866" w:type="dxa"/>
            <w:tcBorders>
              <w:top w:val="nil"/>
              <w:bottom w:val="nil"/>
            </w:tcBorders>
          </w:tcPr>
          <w:p w:rsidR="000C61C9" w:rsidRPr="00E33977" w:rsidRDefault="000C61C9" w:rsidP="001D0E30">
            <w:pPr>
              <w:pStyle w:val="Tablelist"/>
              <w:jc w:val="center"/>
            </w:pPr>
            <w:r>
              <w:t>125 per yr.</w:t>
            </w:r>
          </w:p>
        </w:tc>
        <w:tc>
          <w:tcPr>
            <w:tcW w:w="1824" w:type="dxa"/>
            <w:tcBorders>
              <w:top w:val="nil"/>
              <w:bottom w:val="nil"/>
            </w:tcBorders>
          </w:tcPr>
          <w:p w:rsidR="000C61C9" w:rsidRPr="00E33977" w:rsidRDefault="000C61C9" w:rsidP="001D0E30">
            <w:pPr>
              <w:pStyle w:val="Tablelist"/>
              <w:jc w:val="center"/>
            </w:pPr>
            <w:r>
              <w:t>21 per yr.</w:t>
            </w:r>
          </w:p>
        </w:tc>
      </w:tr>
      <w:tr w:rsidR="000C61C9" w:rsidRPr="00E33977" w:rsidTr="005364E8">
        <w:trPr>
          <w:jc w:val="center"/>
        </w:trPr>
        <w:tc>
          <w:tcPr>
            <w:tcW w:w="4368" w:type="dxa"/>
            <w:tcBorders>
              <w:top w:val="nil"/>
              <w:bottom w:val="nil"/>
            </w:tcBorders>
          </w:tcPr>
          <w:p w:rsidR="000C61C9" w:rsidRDefault="000C61C9" w:rsidP="00215216">
            <w:pPr>
              <w:pStyle w:val="Tablelist"/>
            </w:pPr>
            <w:r w:rsidRPr="00E33977">
              <w:t xml:space="preserve">Proceeds from the sale of NIPP </w:t>
            </w:r>
            <w:proofErr w:type="spellStart"/>
            <w:r w:rsidRPr="00E33977">
              <w:t>GenCos</w:t>
            </w:r>
            <w:proofErr w:type="spellEnd"/>
          </w:p>
        </w:tc>
        <w:tc>
          <w:tcPr>
            <w:tcW w:w="1866" w:type="dxa"/>
            <w:tcBorders>
              <w:top w:val="nil"/>
              <w:bottom w:val="nil"/>
            </w:tcBorders>
          </w:tcPr>
          <w:p w:rsidR="000C61C9" w:rsidRDefault="000C61C9" w:rsidP="001D0E30">
            <w:pPr>
              <w:pStyle w:val="Tablelist"/>
              <w:jc w:val="center"/>
            </w:pPr>
            <w:r>
              <w:t>1,600</w:t>
            </w:r>
          </w:p>
        </w:tc>
        <w:tc>
          <w:tcPr>
            <w:tcW w:w="1824" w:type="dxa"/>
            <w:tcBorders>
              <w:top w:val="nil"/>
              <w:bottom w:val="nil"/>
            </w:tcBorders>
          </w:tcPr>
          <w:p w:rsidR="000C61C9" w:rsidRPr="00E33977" w:rsidRDefault="000C61C9" w:rsidP="001D0E30">
            <w:pPr>
              <w:pStyle w:val="Tablelist"/>
              <w:jc w:val="center"/>
            </w:pPr>
            <w:r>
              <w:t>264</w:t>
            </w:r>
          </w:p>
        </w:tc>
      </w:tr>
      <w:tr w:rsidR="000C61C9" w:rsidRPr="00E33977" w:rsidTr="005364E8">
        <w:trPr>
          <w:jc w:val="center"/>
        </w:trPr>
        <w:tc>
          <w:tcPr>
            <w:tcW w:w="4368" w:type="dxa"/>
            <w:tcBorders>
              <w:top w:val="nil"/>
            </w:tcBorders>
          </w:tcPr>
          <w:p w:rsidR="000C61C9" w:rsidRPr="00E33977" w:rsidRDefault="000C61C9" w:rsidP="00215216">
            <w:pPr>
              <w:pStyle w:val="Tablelist"/>
            </w:pPr>
            <w:r>
              <w:t>Other Loans (TBD)</w:t>
            </w:r>
          </w:p>
        </w:tc>
        <w:tc>
          <w:tcPr>
            <w:tcW w:w="1866" w:type="dxa"/>
            <w:tcBorders>
              <w:top w:val="nil"/>
            </w:tcBorders>
          </w:tcPr>
          <w:p w:rsidR="000C61C9" w:rsidRDefault="000C61C9" w:rsidP="001D0E30">
            <w:pPr>
              <w:pStyle w:val="Tablelist"/>
              <w:jc w:val="center"/>
            </w:pPr>
            <w:r>
              <w:t>-</w:t>
            </w:r>
          </w:p>
        </w:tc>
        <w:tc>
          <w:tcPr>
            <w:tcW w:w="1824" w:type="dxa"/>
            <w:tcBorders>
              <w:top w:val="nil"/>
            </w:tcBorders>
          </w:tcPr>
          <w:p w:rsidR="000C61C9" w:rsidRPr="00E33977" w:rsidRDefault="000C61C9" w:rsidP="001D0E30">
            <w:pPr>
              <w:pStyle w:val="Tablelist"/>
              <w:jc w:val="center"/>
            </w:pPr>
            <w:r>
              <w:t>-</w:t>
            </w:r>
          </w:p>
        </w:tc>
      </w:tr>
    </w:tbl>
    <w:p w:rsidR="000C61C9" w:rsidRDefault="000C61C9" w:rsidP="00215216"/>
    <w:p w:rsidR="000C61C9" w:rsidRDefault="00283E70" w:rsidP="00215216">
      <w:r>
        <w:fldChar w:fldCharType="begin"/>
      </w:r>
      <w:r w:rsidR="007D013B">
        <w:instrText xml:space="preserve"> REF _Ref379825450 \h </w:instrText>
      </w:r>
      <w:r>
        <w:fldChar w:fldCharType="separate"/>
      </w:r>
      <w:r w:rsidR="002F19E0">
        <w:t xml:space="preserve">Table </w:t>
      </w:r>
      <w:r w:rsidR="002F19E0">
        <w:rPr>
          <w:noProof/>
        </w:rPr>
        <w:t>8</w:t>
      </w:r>
      <w:r>
        <w:fldChar w:fldCharType="end"/>
      </w:r>
      <w:r w:rsidR="000C61C9">
        <w:t xml:space="preserve"> provides a </w:t>
      </w:r>
      <w:r w:rsidR="005364E8">
        <w:t>breakdown of existing</w:t>
      </w:r>
      <w:r w:rsidR="000C61C9">
        <w:t xml:space="preserve"> </w:t>
      </w:r>
      <w:r w:rsidR="00713245">
        <w:t>sources of borrowing</w:t>
      </w:r>
      <w:r w:rsidR="000C61C9">
        <w:t xml:space="preserve"> for capital expenditures.</w:t>
      </w:r>
    </w:p>
    <w:p w:rsidR="000C61C9" w:rsidRDefault="000C61C9" w:rsidP="00215216">
      <w:pPr>
        <w:pStyle w:val="Caption"/>
      </w:pPr>
      <w:bookmarkStart w:id="19" w:name="_Ref379825450"/>
      <w:r>
        <w:t xml:space="preserve">Table </w:t>
      </w:r>
      <w:fldSimple w:instr=" SEQ Table \* ARABIC ">
        <w:r w:rsidR="002F19E0">
          <w:rPr>
            <w:noProof/>
          </w:rPr>
          <w:t>8</w:t>
        </w:r>
      </w:fldSimple>
      <w:bookmarkEnd w:id="19"/>
      <w:r>
        <w:t xml:space="preserve">: Existing </w:t>
      </w:r>
      <w:r w:rsidR="00713245">
        <w:t>Borrowing</w:t>
      </w:r>
      <w:r>
        <w:t xml:space="preserve"> for TCN Capital Program</w:t>
      </w:r>
    </w:p>
    <w:tbl>
      <w:tblPr>
        <w:tblStyle w:val="TableGrid"/>
        <w:tblW w:w="0" w:type="auto"/>
        <w:jc w:val="center"/>
        <w:tblBorders>
          <w:insideH w:val="none" w:sz="0" w:space="0" w:color="auto"/>
          <w:insideV w:val="none" w:sz="0" w:space="0" w:color="auto"/>
        </w:tblBorders>
        <w:tblLook w:val="04A0"/>
      </w:tblPr>
      <w:tblGrid>
        <w:gridCol w:w="4374"/>
        <w:gridCol w:w="1350"/>
      </w:tblGrid>
      <w:tr w:rsidR="000C61C9" w:rsidRPr="001D0E30" w:rsidTr="00713245">
        <w:trPr>
          <w:tblHeader/>
          <w:jc w:val="center"/>
        </w:trPr>
        <w:tc>
          <w:tcPr>
            <w:tcW w:w="4374" w:type="dxa"/>
            <w:tcBorders>
              <w:top w:val="single" w:sz="4" w:space="0" w:color="auto"/>
              <w:bottom w:val="single" w:sz="4" w:space="0" w:color="auto"/>
              <w:right w:val="single" w:sz="4" w:space="0" w:color="auto"/>
            </w:tcBorders>
          </w:tcPr>
          <w:p w:rsidR="000C61C9" w:rsidRPr="001D0E30" w:rsidRDefault="000C61C9" w:rsidP="00215216">
            <w:pPr>
              <w:pStyle w:val="Tablelist"/>
              <w:rPr>
                <w:b/>
              </w:rPr>
            </w:pPr>
            <w:r w:rsidRPr="001D0E30">
              <w:rPr>
                <w:b/>
              </w:rPr>
              <w:t>Source</w:t>
            </w:r>
          </w:p>
        </w:tc>
        <w:tc>
          <w:tcPr>
            <w:tcW w:w="1350" w:type="dxa"/>
            <w:tcBorders>
              <w:top w:val="single" w:sz="4" w:space="0" w:color="auto"/>
              <w:left w:val="single" w:sz="4" w:space="0" w:color="auto"/>
              <w:bottom w:val="single" w:sz="4" w:space="0" w:color="auto"/>
            </w:tcBorders>
          </w:tcPr>
          <w:p w:rsidR="000C61C9" w:rsidRPr="001D0E30" w:rsidRDefault="000C61C9" w:rsidP="001D0E30">
            <w:pPr>
              <w:pStyle w:val="Tablelist"/>
              <w:jc w:val="center"/>
              <w:rPr>
                <w:b/>
              </w:rPr>
            </w:pPr>
            <w:r w:rsidRPr="001D0E30">
              <w:rPr>
                <w:b/>
              </w:rPr>
              <w:t xml:space="preserve">US$ </w:t>
            </w:r>
            <w:r w:rsidR="005364E8" w:rsidRPr="001D0E30">
              <w:rPr>
                <w:b/>
              </w:rPr>
              <w:t>M</w:t>
            </w:r>
          </w:p>
        </w:tc>
      </w:tr>
      <w:tr w:rsidR="000C61C9" w:rsidRPr="00D90943" w:rsidTr="00713245">
        <w:trPr>
          <w:jc w:val="center"/>
        </w:trPr>
        <w:tc>
          <w:tcPr>
            <w:tcW w:w="4374" w:type="dxa"/>
            <w:tcBorders>
              <w:top w:val="single" w:sz="4" w:space="0" w:color="auto"/>
              <w:right w:val="single" w:sz="4" w:space="0" w:color="auto"/>
            </w:tcBorders>
          </w:tcPr>
          <w:p w:rsidR="000C61C9" w:rsidRPr="00D90943" w:rsidRDefault="000C61C9" w:rsidP="00215216">
            <w:pPr>
              <w:pStyle w:val="Tablelist"/>
            </w:pPr>
            <w:r w:rsidRPr="00D90943">
              <w:t>Secured Funding - Debt</w:t>
            </w:r>
          </w:p>
        </w:tc>
        <w:tc>
          <w:tcPr>
            <w:tcW w:w="1350" w:type="dxa"/>
            <w:tcBorders>
              <w:top w:val="single" w:sz="4" w:space="0" w:color="auto"/>
              <w:left w:val="single" w:sz="4" w:space="0" w:color="auto"/>
            </w:tcBorders>
          </w:tcPr>
          <w:p w:rsidR="000C61C9" w:rsidRPr="00D90943" w:rsidRDefault="000C61C9" w:rsidP="001D0E30">
            <w:pPr>
              <w:pStyle w:val="Tablelist"/>
              <w:jc w:val="center"/>
            </w:pPr>
          </w:p>
        </w:tc>
      </w:tr>
      <w:tr w:rsidR="000C61C9" w:rsidRPr="00D90943" w:rsidTr="00713245">
        <w:trPr>
          <w:jc w:val="center"/>
        </w:trPr>
        <w:tc>
          <w:tcPr>
            <w:tcW w:w="4374" w:type="dxa"/>
            <w:tcBorders>
              <w:right w:val="single" w:sz="4" w:space="0" w:color="auto"/>
            </w:tcBorders>
          </w:tcPr>
          <w:p w:rsidR="000C61C9" w:rsidRPr="00D90943" w:rsidRDefault="000C61C9" w:rsidP="00215216">
            <w:pPr>
              <w:pStyle w:val="Tablelist"/>
            </w:pPr>
            <w:proofErr w:type="spellStart"/>
            <w:r w:rsidRPr="00D90943">
              <w:t>AfDB</w:t>
            </w:r>
            <w:proofErr w:type="spellEnd"/>
            <w:r w:rsidRPr="00D90943">
              <w:t xml:space="preserve"> (EPSERP)</w:t>
            </w:r>
          </w:p>
        </w:tc>
        <w:tc>
          <w:tcPr>
            <w:tcW w:w="1350" w:type="dxa"/>
            <w:tcBorders>
              <w:left w:val="single" w:sz="4" w:space="0" w:color="auto"/>
            </w:tcBorders>
          </w:tcPr>
          <w:p w:rsidR="000C61C9" w:rsidRPr="00D90943" w:rsidRDefault="000C61C9" w:rsidP="001D0E30">
            <w:pPr>
              <w:pStyle w:val="Tablelist"/>
              <w:jc w:val="center"/>
            </w:pPr>
            <w:r w:rsidRPr="00D90943">
              <w:t>100</w:t>
            </w:r>
          </w:p>
        </w:tc>
      </w:tr>
      <w:tr w:rsidR="000C61C9" w:rsidRPr="00D90943" w:rsidTr="00713245">
        <w:trPr>
          <w:jc w:val="center"/>
        </w:trPr>
        <w:tc>
          <w:tcPr>
            <w:tcW w:w="4374" w:type="dxa"/>
            <w:tcBorders>
              <w:right w:val="single" w:sz="4" w:space="0" w:color="auto"/>
            </w:tcBorders>
          </w:tcPr>
          <w:p w:rsidR="000C61C9" w:rsidRPr="00D90943" w:rsidRDefault="000C61C9" w:rsidP="00215216">
            <w:pPr>
              <w:pStyle w:val="Tablelist"/>
            </w:pPr>
            <w:proofErr w:type="spellStart"/>
            <w:r w:rsidRPr="00D90943">
              <w:t>AfDB</w:t>
            </w:r>
            <w:proofErr w:type="spellEnd"/>
            <w:r w:rsidRPr="00D90943">
              <w:t xml:space="preserve"> (EPSERP)</w:t>
            </w:r>
          </w:p>
        </w:tc>
        <w:tc>
          <w:tcPr>
            <w:tcW w:w="1350" w:type="dxa"/>
            <w:tcBorders>
              <w:left w:val="single" w:sz="4" w:space="0" w:color="auto"/>
            </w:tcBorders>
          </w:tcPr>
          <w:p w:rsidR="000C61C9" w:rsidRPr="00D90943" w:rsidRDefault="000C61C9" w:rsidP="001D0E30">
            <w:pPr>
              <w:pStyle w:val="Tablelist"/>
              <w:jc w:val="center"/>
            </w:pPr>
            <w:r w:rsidRPr="00D90943">
              <w:t>50</w:t>
            </w:r>
          </w:p>
        </w:tc>
      </w:tr>
      <w:tr w:rsidR="000C61C9" w:rsidRPr="00D90943" w:rsidTr="00713245">
        <w:trPr>
          <w:jc w:val="center"/>
        </w:trPr>
        <w:tc>
          <w:tcPr>
            <w:tcW w:w="4374" w:type="dxa"/>
            <w:tcBorders>
              <w:right w:val="single" w:sz="4" w:space="0" w:color="auto"/>
            </w:tcBorders>
          </w:tcPr>
          <w:p w:rsidR="000C61C9" w:rsidRPr="00D90943" w:rsidRDefault="000C61C9" w:rsidP="00215216">
            <w:pPr>
              <w:pStyle w:val="Tablelist"/>
            </w:pPr>
            <w:r w:rsidRPr="00D90943">
              <w:t>World Bank (NEGIP)</w:t>
            </w:r>
          </w:p>
        </w:tc>
        <w:tc>
          <w:tcPr>
            <w:tcW w:w="1350" w:type="dxa"/>
            <w:tcBorders>
              <w:left w:val="single" w:sz="4" w:space="0" w:color="auto"/>
            </w:tcBorders>
          </w:tcPr>
          <w:p w:rsidR="000C61C9" w:rsidRPr="00D90943" w:rsidRDefault="000C61C9" w:rsidP="001D0E30">
            <w:pPr>
              <w:pStyle w:val="Tablelist"/>
              <w:jc w:val="center"/>
            </w:pPr>
            <w:r w:rsidRPr="00D90943">
              <w:t>10</w:t>
            </w:r>
            <w:r>
              <w:t>8</w:t>
            </w:r>
          </w:p>
        </w:tc>
      </w:tr>
      <w:tr w:rsidR="000C61C9" w:rsidRPr="00D90943" w:rsidTr="00713245">
        <w:trPr>
          <w:jc w:val="center"/>
        </w:trPr>
        <w:tc>
          <w:tcPr>
            <w:tcW w:w="4374" w:type="dxa"/>
            <w:tcBorders>
              <w:right w:val="single" w:sz="4" w:space="0" w:color="auto"/>
            </w:tcBorders>
          </w:tcPr>
          <w:p w:rsidR="000C61C9" w:rsidRPr="00D90943" w:rsidRDefault="000C61C9" w:rsidP="00215216">
            <w:pPr>
              <w:pStyle w:val="Tablelist"/>
            </w:pPr>
            <w:r w:rsidRPr="00D90943">
              <w:t>World Bank (NEGIP)</w:t>
            </w:r>
          </w:p>
        </w:tc>
        <w:tc>
          <w:tcPr>
            <w:tcW w:w="1350" w:type="dxa"/>
            <w:tcBorders>
              <w:left w:val="single" w:sz="4" w:space="0" w:color="auto"/>
            </w:tcBorders>
          </w:tcPr>
          <w:p w:rsidR="000C61C9" w:rsidRPr="00D90943" w:rsidRDefault="000C61C9" w:rsidP="001D0E30">
            <w:pPr>
              <w:pStyle w:val="Tablelist"/>
              <w:jc w:val="center"/>
            </w:pPr>
            <w:r w:rsidRPr="00D90943">
              <w:t>60</w:t>
            </w:r>
          </w:p>
        </w:tc>
      </w:tr>
      <w:tr w:rsidR="000C61C9" w:rsidRPr="00D90943" w:rsidTr="00713245">
        <w:trPr>
          <w:jc w:val="center"/>
        </w:trPr>
        <w:tc>
          <w:tcPr>
            <w:tcW w:w="4374" w:type="dxa"/>
            <w:tcBorders>
              <w:bottom w:val="nil"/>
              <w:right w:val="single" w:sz="4" w:space="0" w:color="auto"/>
            </w:tcBorders>
          </w:tcPr>
          <w:p w:rsidR="000C61C9" w:rsidRPr="00D90943" w:rsidRDefault="000C61C9" w:rsidP="00215216">
            <w:pPr>
              <w:pStyle w:val="Tablelist"/>
            </w:pPr>
            <w:r w:rsidRPr="00D90943">
              <w:t>Eurobond</w:t>
            </w:r>
          </w:p>
        </w:tc>
        <w:tc>
          <w:tcPr>
            <w:tcW w:w="1350" w:type="dxa"/>
            <w:tcBorders>
              <w:left w:val="single" w:sz="4" w:space="0" w:color="auto"/>
              <w:bottom w:val="nil"/>
            </w:tcBorders>
          </w:tcPr>
          <w:p w:rsidR="000C61C9" w:rsidRPr="00D90943" w:rsidRDefault="000C61C9" w:rsidP="001D0E30">
            <w:pPr>
              <w:pStyle w:val="Tablelist"/>
              <w:jc w:val="center"/>
            </w:pPr>
            <w:r w:rsidRPr="00D90943">
              <w:t>13</w:t>
            </w:r>
            <w:r>
              <w:t>6</w:t>
            </w:r>
          </w:p>
        </w:tc>
      </w:tr>
      <w:tr w:rsidR="000C61C9" w:rsidRPr="008671D8" w:rsidTr="005364E8">
        <w:trPr>
          <w:jc w:val="center"/>
        </w:trPr>
        <w:tc>
          <w:tcPr>
            <w:tcW w:w="4374" w:type="dxa"/>
            <w:tcBorders>
              <w:top w:val="nil"/>
              <w:bottom w:val="single" w:sz="4" w:space="0" w:color="auto"/>
              <w:right w:val="single" w:sz="4" w:space="0" w:color="auto"/>
            </w:tcBorders>
          </w:tcPr>
          <w:p w:rsidR="000C61C9" w:rsidRPr="005364E8" w:rsidRDefault="000C61C9" w:rsidP="00215216">
            <w:pPr>
              <w:pStyle w:val="Tablelist"/>
            </w:pPr>
            <w:proofErr w:type="spellStart"/>
            <w:r w:rsidRPr="005364E8">
              <w:t>Agence</w:t>
            </w:r>
            <w:proofErr w:type="spellEnd"/>
            <w:r w:rsidRPr="005364E8">
              <w:t xml:space="preserve"> </w:t>
            </w:r>
            <w:proofErr w:type="spellStart"/>
            <w:r w:rsidRPr="005364E8">
              <w:t>Francaise</w:t>
            </w:r>
            <w:proofErr w:type="spellEnd"/>
            <w:r w:rsidRPr="005364E8">
              <w:t xml:space="preserve"> de Development (AFD)</w:t>
            </w:r>
          </w:p>
        </w:tc>
        <w:tc>
          <w:tcPr>
            <w:tcW w:w="1350" w:type="dxa"/>
            <w:tcBorders>
              <w:top w:val="nil"/>
              <w:left w:val="single" w:sz="4" w:space="0" w:color="auto"/>
              <w:bottom w:val="single" w:sz="4" w:space="0" w:color="auto"/>
            </w:tcBorders>
          </w:tcPr>
          <w:p w:rsidR="000C61C9" w:rsidRPr="005364E8" w:rsidRDefault="000C61C9" w:rsidP="001D0E30">
            <w:pPr>
              <w:pStyle w:val="Tablelist"/>
              <w:jc w:val="center"/>
            </w:pPr>
            <w:r w:rsidRPr="005364E8">
              <w:t>170</w:t>
            </w:r>
          </w:p>
        </w:tc>
      </w:tr>
      <w:tr w:rsidR="000C61C9" w:rsidRPr="00D90943" w:rsidTr="005364E8">
        <w:trPr>
          <w:jc w:val="center"/>
        </w:trPr>
        <w:tc>
          <w:tcPr>
            <w:tcW w:w="4374" w:type="dxa"/>
            <w:tcBorders>
              <w:top w:val="single" w:sz="4" w:space="0" w:color="auto"/>
              <w:bottom w:val="single" w:sz="4" w:space="0" w:color="auto"/>
              <w:right w:val="single" w:sz="4" w:space="0" w:color="auto"/>
            </w:tcBorders>
          </w:tcPr>
          <w:p w:rsidR="000C61C9" w:rsidRPr="00D90943" w:rsidRDefault="005364E8" w:rsidP="00215216">
            <w:pPr>
              <w:pStyle w:val="Tablelist"/>
            </w:pPr>
            <w:r>
              <w:t>Total</w:t>
            </w:r>
          </w:p>
        </w:tc>
        <w:tc>
          <w:tcPr>
            <w:tcW w:w="1350" w:type="dxa"/>
            <w:tcBorders>
              <w:top w:val="single" w:sz="4" w:space="0" w:color="auto"/>
              <w:left w:val="single" w:sz="4" w:space="0" w:color="auto"/>
              <w:bottom w:val="single" w:sz="4" w:space="0" w:color="auto"/>
            </w:tcBorders>
          </w:tcPr>
          <w:p w:rsidR="000C61C9" w:rsidRPr="00D90943" w:rsidRDefault="000C61C9" w:rsidP="001D0E30">
            <w:pPr>
              <w:pStyle w:val="Tablelist"/>
              <w:jc w:val="center"/>
            </w:pPr>
            <w:r>
              <w:t>623</w:t>
            </w:r>
          </w:p>
        </w:tc>
      </w:tr>
    </w:tbl>
    <w:p w:rsidR="000C61C9" w:rsidRDefault="000C61C9" w:rsidP="00215216"/>
    <w:p w:rsidR="000C61C9" w:rsidRDefault="00283E70" w:rsidP="00215216">
      <w:r>
        <w:fldChar w:fldCharType="begin"/>
      </w:r>
      <w:r w:rsidR="007D013B">
        <w:instrText xml:space="preserve"> REF _Ref379821127 \h </w:instrText>
      </w:r>
      <w:r>
        <w:fldChar w:fldCharType="separate"/>
      </w:r>
      <w:r w:rsidR="002F19E0">
        <w:t xml:space="preserve">Figure </w:t>
      </w:r>
      <w:r w:rsidR="002F19E0">
        <w:rPr>
          <w:noProof/>
        </w:rPr>
        <w:t>3</w:t>
      </w:r>
      <w:r>
        <w:fldChar w:fldCharType="end"/>
      </w:r>
      <w:r w:rsidR="000C61C9">
        <w:t xml:space="preserve"> provides a comparison of capital funding requirements with existing sources of funding.  It is clear that there is a major funding gap that needs to be addressed.  </w:t>
      </w:r>
    </w:p>
    <w:p w:rsidR="000C61C9" w:rsidRDefault="000C61C9" w:rsidP="00215216">
      <w:r>
        <w:rPr>
          <w:noProof/>
          <w:lang w:val="en-US" w:eastAsia="en-US"/>
        </w:rPr>
        <w:lastRenderedPageBreak/>
        <w:drawing>
          <wp:inline distT="0" distB="0" distL="0" distR="0">
            <wp:extent cx="5952877" cy="4280452"/>
            <wp:effectExtent l="19050" t="0" r="9773" b="5798"/>
            <wp:docPr id="5"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C61C9" w:rsidRDefault="000C61C9" w:rsidP="00215216">
      <w:pPr>
        <w:pStyle w:val="Caption"/>
      </w:pPr>
      <w:bookmarkStart w:id="20" w:name="_Ref379821127"/>
      <w:r>
        <w:t xml:space="preserve">Figure </w:t>
      </w:r>
      <w:fldSimple w:instr=" SEQ Figure \* ARABIC ">
        <w:r w:rsidR="002F19E0">
          <w:rPr>
            <w:noProof/>
          </w:rPr>
          <w:t>3</w:t>
        </w:r>
      </w:fldSimple>
      <w:bookmarkEnd w:id="20"/>
      <w:r>
        <w:t>: C</w:t>
      </w:r>
      <w:r w:rsidRPr="00812FFA">
        <w:t xml:space="preserve">apital </w:t>
      </w:r>
      <w:r>
        <w:t>F</w:t>
      </w:r>
      <w:r w:rsidRPr="00812FFA">
        <w:t xml:space="preserve">unding </w:t>
      </w:r>
      <w:r>
        <w:t>R</w:t>
      </w:r>
      <w:r w:rsidRPr="00812FFA">
        <w:t xml:space="preserve">equirements </w:t>
      </w:r>
      <w:r>
        <w:t>versus</w:t>
      </w:r>
      <w:r w:rsidRPr="00812FFA">
        <w:t xml:space="preserve"> </w:t>
      </w:r>
      <w:r>
        <w:t>E</w:t>
      </w:r>
      <w:r w:rsidRPr="00812FFA">
        <w:t xml:space="preserve">xisting </w:t>
      </w:r>
      <w:r>
        <w:t>S</w:t>
      </w:r>
      <w:r w:rsidRPr="00812FFA">
        <w:t xml:space="preserve">ources of </w:t>
      </w:r>
      <w:r>
        <w:t>F</w:t>
      </w:r>
      <w:r w:rsidRPr="00812FFA">
        <w:t>unding</w:t>
      </w:r>
      <w:r>
        <w:t xml:space="preserve"> </w:t>
      </w:r>
    </w:p>
    <w:p w:rsidR="002A1C63" w:rsidRDefault="00D37EA4" w:rsidP="00215216">
      <w:pPr>
        <w:pStyle w:val="Heading1"/>
      </w:pPr>
      <w:bookmarkStart w:id="21" w:name="_Toc382658226"/>
      <w:r>
        <w:t xml:space="preserve">Summary of </w:t>
      </w:r>
      <w:r w:rsidR="002A1C63">
        <w:t>Investment Opportunity</w:t>
      </w:r>
      <w:bookmarkEnd w:id="21"/>
    </w:p>
    <w:p w:rsidR="00FB13FB" w:rsidRDefault="00FB13FB" w:rsidP="00215216">
      <w:pPr>
        <w:pStyle w:val="Heading2"/>
      </w:pPr>
      <w:bookmarkStart w:id="22" w:name="_Toc382658227"/>
      <w:r>
        <w:t>Financing Packages</w:t>
      </w:r>
      <w:bookmarkEnd w:id="22"/>
    </w:p>
    <w:p w:rsidR="001D0E30" w:rsidRDefault="00283E70" w:rsidP="00215216">
      <w:fldSimple w:instr=" REF _Ref381025361 \h  \* MERGEFORMAT ">
        <w:r w:rsidR="002F19E0">
          <w:t xml:space="preserve">Table </w:t>
        </w:r>
        <w:r w:rsidR="002F19E0">
          <w:rPr>
            <w:noProof/>
          </w:rPr>
          <w:t>9</w:t>
        </w:r>
      </w:fldSimple>
      <w:r w:rsidR="001D0E30">
        <w:t xml:space="preserve"> below shows the</w:t>
      </w:r>
      <w:r w:rsidR="006E019D">
        <w:t xml:space="preserve"> </w:t>
      </w:r>
      <w:r w:rsidR="001D0E30">
        <w:t xml:space="preserve">TCN </w:t>
      </w:r>
      <w:r w:rsidR="006E019D">
        <w:t xml:space="preserve">transmission </w:t>
      </w:r>
      <w:r w:rsidR="001D0E30">
        <w:t>refurbishment and expansion program</w:t>
      </w:r>
      <w:r w:rsidR="006E019D">
        <w:t xml:space="preserve"> grouped into a set of investment funds (“Financing Packages”)</w:t>
      </w:r>
      <w:r w:rsidR="001D0E30">
        <w:t>.  The detailed list of projects within each grouping</w:t>
      </w:r>
      <w:r w:rsidR="006E019D">
        <w:t xml:space="preserve"> </w:t>
      </w:r>
      <w:r w:rsidR="001D0E30">
        <w:t xml:space="preserve">is shown </w:t>
      </w:r>
      <w:r w:rsidR="006E019D">
        <w:t xml:space="preserve">in Annex 1.  </w:t>
      </w:r>
    </w:p>
    <w:p w:rsidR="00713245" w:rsidRDefault="006E019D" w:rsidP="00215216">
      <w:r>
        <w:t xml:space="preserve">TCN’s </w:t>
      </w:r>
      <w:r w:rsidR="00713245">
        <w:t>most immediate</w:t>
      </w:r>
      <w:r w:rsidR="00505782">
        <w:t xml:space="preserve"> goal is to subscribe investment funds </w:t>
      </w:r>
      <w:r w:rsidR="00DD77B5">
        <w:t>for</w:t>
      </w:r>
      <w:r>
        <w:t xml:space="preserve"> </w:t>
      </w:r>
      <w:r w:rsidR="00D37EA4">
        <w:t xml:space="preserve">the following packages: </w:t>
      </w:r>
    </w:p>
    <w:p w:rsidR="00713245" w:rsidRDefault="00713245" w:rsidP="001D0E30">
      <w:pPr>
        <w:pStyle w:val="bullet"/>
      </w:pPr>
      <w:r>
        <w:t>C</w:t>
      </w:r>
      <w:r w:rsidR="006E019D">
        <w:t>apital refurbishment</w:t>
      </w:r>
      <w:r>
        <w:t>;</w:t>
      </w:r>
    </w:p>
    <w:p w:rsidR="00713245" w:rsidRDefault="006E019D" w:rsidP="001D0E30">
      <w:pPr>
        <w:pStyle w:val="bullet"/>
      </w:pPr>
      <w:r>
        <w:t>Package 1</w:t>
      </w:r>
      <w:r w:rsidR="00DD77B5">
        <w:t xml:space="preserve">, </w:t>
      </w:r>
      <w:r w:rsidR="00D37EA4">
        <w:t xml:space="preserve">which </w:t>
      </w:r>
      <w:r w:rsidR="00DD77B5">
        <w:t>consist</w:t>
      </w:r>
      <w:r w:rsidR="00D37EA4">
        <w:t>s</w:t>
      </w:r>
      <w:r w:rsidR="00DD77B5">
        <w:t xml:space="preserve"> of new p</w:t>
      </w:r>
      <w:r w:rsidRPr="006E019D">
        <w:t xml:space="preserve">rojects </w:t>
      </w:r>
      <w:r w:rsidR="00DD77B5">
        <w:t>already under various stages of c</w:t>
      </w:r>
      <w:r w:rsidRPr="006E019D">
        <w:t>onstruction</w:t>
      </w:r>
      <w:r w:rsidR="00713245">
        <w:t>;</w:t>
      </w:r>
      <w:r w:rsidR="00DD77B5">
        <w:t xml:space="preserve"> </w:t>
      </w:r>
      <w:r>
        <w:t xml:space="preserve">and </w:t>
      </w:r>
    </w:p>
    <w:p w:rsidR="00713245" w:rsidRDefault="006E019D" w:rsidP="001D0E30">
      <w:pPr>
        <w:pStyle w:val="outofbullet2"/>
      </w:pPr>
      <w:r>
        <w:t>Package 2</w:t>
      </w:r>
      <w:r w:rsidR="00DD77B5">
        <w:t xml:space="preserve"> Groups 1-5, </w:t>
      </w:r>
      <w:r w:rsidR="00D37EA4">
        <w:t>which consist</w:t>
      </w:r>
      <w:r w:rsidR="00DD77B5">
        <w:t xml:space="preserve"> of new p</w:t>
      </w:r>
      <w:r>
        <w:t>roject</w:t>
      </w:r>
      <w:r w:rsidR="00805E05">
        <w:t>s</w:t>
      </w:r>
      <w:r>
        <w:t xml:space="preserve"> </w:t>
      </w:r>
      <w:r w:rsidR="00DD77B5">
        <w:t>r</w:t>
      </w:r>
      <w:r>
        <w:t xml:space="preserve">equired to </w:t>
      </w:r>
      <w:r w:rsidR="00DD77B5">
        <w:t>i</w:t>
      </w:r>
      <w:r w:rsidRPr="006E019D">
        <w:t xml:space="preserve">ncrease </w:t>
      </w:r>
      <w:r w:rsidR="00DD77B5">
        <w:t>w</w:t>
      </w:r>
      <w:r>
        <w:t xml:space="preserve">heeling </w:t>
      </w:r>
      <w:r w:rsidR="00DD77B5">
        <w:t>c</w:t>
      </w:r>
      <w:r>
        <w:t xml:space="preserve">apacity </w:t>
      </w:r>
      <w:r w:rsidRPr="006E019D">
        <w:t>from 7 to 10 GW</w:t>
      </w:r>
      <w:r w:rsidR="00505782">
        <w:t>.</w:t>
      </w:r>
      <w:r w:rsidR="00002A95">
        <w:t xml:space="preserve">  </w:t>
      </w:r>
    </w:p>
    <w:p w:rsidR="006E019D" w:rsidRDefault="001D0E30" w:rsidP="00215216">
      <w:r>
        <w:t>Once the investment funds for the above groups are fully subscribed, TCN intends to apply any additional available funding to expansion projects in the following phases</w:t>
      </w:r>
      <w:r w:rsidR="00002A95">
        <w:t>:</w:t>
      </w:r>
      <w:r w:rsidR="00002A95" w:rsidRPr="00002A95">
        <w:t xml:space="preserve"> Package 3 (10-13 GW), Package 4 (13-16 GW) and Package 5 (16-20 GW).  </w:t>
      </w:r>
    </w:p>
    <w:p w:rsidR="00805E05" w:rsidRDefault="00805E05" w:rsidP="00215216">
      <w:pPr>
        <w:pStyle w:val="Caption"/>
      </w:pPr>
      <w:bookmarkStart w:id="23" w:name="_Ref381025361"/>
      <w:r>
        <w:lastRenderedPageBreak/>
        <w:t xml:space="preserve">Table </w:t>
      </w:r>
      <w:fldSimple w:instr=" SEQ Table \* ARABIC ">
        <w:r w:rsidR="002F19E0">
          <w:rPr>
            <w:noProof/>
          </w:rPr>
          <w:t>9</w:t>
        </w:r>
      </w:fldSimple>
      <w:bookmarkEnd w:id="23"/>
      <w:r>
        <w:t>: TCN Financing Packages</w:t>
      </w:r>
    </w:p>
    <w:tbl>
      <w:tblPr>
        <w:tblStyle w:val="TableGrid"/>
        <w:tblW w:w="7920" w:type="dxa"/>
        <w:jc w:val="center"/>
        <w:tblLayout w:type="fixed"/>
        <w:tblLook w:val="04A0"/>
      </w:tblPr>
      <w:tblGrid>
        <w:gridCol w:w="1118"/>
        <w:gridCol w:w="3577"/>
        <w:gridCol w:w="1176"/>
        <w:gridCol w:w="1011"/>
        <w:gridCol w:w="1038"/>
      </w:tblGrid>
      <w:tr w:rsidR="00E87BC9" w:rsidRPr="00E87BC9" w:rsidTr="00E87BC9">
        <w:trPr>
          <w:jc w:val="center"/>
        </w:trPr>
        <w:tc>
          <w:tcPr>
            <w:tcW w:w="1196" w:type="dxa"/>
            <w:tcBorders>
              <w:bottom w:val="single" w:sz="4" w:space="0" w:color="auto"/>
            </w:tcBorders>
          </w:tcPr>
          <w:p w:rsidR="00E87BC9" w:rsidRPr="00E87BC9" w:rsidRDefault="00E87BC9" w:rsidP="00E87BC9">
            <w:pPr>
              <w:pStyle w:val="Tablelist"/>
              <w:jc w:val="center"/>
              <w:rPr>
                <w:b/>
              </w:rPr>
            </w:pPr>
            <w:r w:rsidRPr="00E87BC9">
              <w:rPr>
                <w:b/>
              </w:rPr>
              <w:t>Finance Package</w:t>
            </w:r>
          </w:p>
        </w:tc>
        <w:tc>
          <w:tcPr>
            <w:tcW w:w="3874" w:type="dxa"/>
            <w:tcBorders>
              <w:bottom w:val="single" w:sz="4" w:space="0" w:color="auto"/>
            </w:tcBorders>
          </w:tcPr>
          <w:p w:rsidR="00E87BC9" w:rsidRPr="00E87BC9" w:rsidRDefault="00E87BC9" w:rsidP="00215216">
            <w:pPr>
              <w:pStyle w:val="Tablelist"/>
              <w:rPr>
                <w:b/>
              </w:rPr>
            </w:pPr>
            <w:r w:rsidRPr="00E87BC9">
              <w:rPr>
                <w:b/>
              </w:rPr>
              <w:t>Description</w:t>
            </w:r>
          </w:p>
        </w:tc>
        <w:tc>
          <w:tcPr>
            <w:tcW w:w="1260" w:type="dxa"/>
            <w:tcBorders>
              <w:bottom w:val="single" w:sz="4" w:space="0" w:color="auto"/>
            </w:tcBorders>
          </w:tcPr>
          <w:p w:rsidR="00E87BC9" w:rsidRPr="00E87BC9" w:rsidRDefault="00E87BC9" w:rsidP="001D0E30">
            <w:pPr>
              <w:pStyle w:val="Tablelist"/>
              <w:jc w:val="center"/>
              <w:rPr>
                <w:b/>
              </w:rPr>
            </w:pPr>
            <w:r w:rsidRPr="00E87BC9">
              <w:rPr>
                <w:b/>
              </w:rPr>
              <w:t>In Service</w:t>
            </w:r>
          </w:p>
        </w:tc>
        <w:tc>
          <w:tcPr>
            <w:tcW w:w="1080" w:type="dxa"/>
            <w:tcBorders>
              <w:bottom w:val="single" w:sz="4" w:space="0" w:color="auto"/>
            </w:tcBorders>
          </w:tcPr>
          <w:p w:rsidR="00E87BC9" w:rsidRPr="00E87BC9" w:rsidRDefault="00E87BC9" w:rsidP="001D0E30">
            <w:pPr>
              <w:pStyle w:val="Tablelist"/>
              <w:jc w:val="center"/>
              <w:rPr>
                <w:b/>
              </w:rPr>
            </w:pPr>
            <w:r w:rsidRPr="00E87BC9">
              <w:rPr>
                <w:b/>
              </w:rPr>
              <w:t>$M USD</w:t>
            </w:r>
          </w:p>
        </w:tc>
        <w:tc>
          <w:tcPr>
            <w:tcW w:w="1109" w:type="dxa"/>
            <w:tcBorders>
              <w:bottom w:val="single" w:sz="4" w:space="0" w:color="auto"/>
            </w:tcBorders>
            <w:shd w:val="clear" w:color="auto" w:fill="DDD9C3" w:themeFill="background2" w:themeFillShade="E6"/>
          </w:tcPr>
          <w:p w:rsidR="00E87BC9" w:rsidRPr="00E87BC9" w:rsidRDefault="00E87BC9" w:rsidP="001D0E30">
            <w:pPr>
              <w:pStyle w:val="Tablelist"/>
              <w:jc w:val="center"/>
              <w:rPr>
                <w:b/>
              </w:rPr>
            </w:pPr>
            <w:r w:rsidRPr="00E87BC9">
              <w:rPr>
                <w:b/>
              </w:rPr>
              <w:t>Naira Billions</w:t>
            </w:r>
          </w:p>
        </w:tc>
      </w:tr>
      <w:tr w:rsidR="00E87BC9" w:rsidRPr="00483E2A" w:rsidTr="00E87BC9">
        <w:trPr>
          <w:jc w:val="center"/>
        </w:trPr>
        <w:tc>
          <w:tcPr>
            <w:tcW w:w="1196" w:type="dxa"/>
            <w:tcBorders>
              <w:bottom w:val="nil"/>
            </w:tcBorders>
          </w:tcPr>
          <w:p w:rsidR="00E87BC9" w:rsidRPr="00483E2A" w:rsidRDefault="00E87BC9" w:rsidP="00E87BC9">
            <w:pPr>
              <w:pStyle w:val="Tablelist"/>
              <w:jc w:val="center"/>
            </w:pPr>
            <w:r>
              <w:t>--</w:t>
            </w:r>
          </w:p>
        </w:tc>
        <w:tc>
          <w:tcPr>
            <w:tcW w:w="3874" w:type="dxa"/>
            <w:tcBorders>
              <w:bottom w:val="nil"/>
            </w:tcBorders>
          </w:tcPr>
          <w:p w:rsidR="00E87BC9" w:rsidRPr="00483E2A" w:rsidRDefault="00E87BC9" w:rsidP="00215216">
            <w:pPr>
              <w:pStyle w:val="Tablelist"/>
            </w:pPr>
            <w:r w:rsidRPr="00483E2A">
              <w:t>Capital Refurbishment</w:t>
            </w:r>
          </w:p>
        </w:tc>
        <w:tc>
          <w:tcPr>
            <w:tcW w:w="1260" w:type="dxa"/>
            <w:tcBorders>
              <w:bottom w:val="nil"/>
            </w:tcBorders>
          </w:tcPr>
          <w:p w:rsidR="00E87BC9" w:rsidRPr="00483E2A" w:rsidRDefault="00E87BC9" w:rsidP="001D0E30">
            <w:pPr>
              <w:pStyle w:val="Tablelist"/>
              <w:jc w:val="center"/>
            </w:pPr>
            <w:r w:rsidRPr="00483E2A">
              <w:t>2015</w:t>
            </w:r>
          </w:p>
        </w:tc>
        <w:tc>
          <w:tcPr>
            <w:tcW w:w="1080" w:type="dxa"/>
            <w:tcBorders>
              <w:bottom w:val="nil"/>
            </w:tcBorders>
          </w:tcPr>
          <w:p w:rsidR="00E87BC9" w:rsidRPr="00483E2A" w:rsidRDefault="00E87BC9" w:rsidP="001D0E30">
            <w:pPr>
              <w:pStyle w:val="Tablelist"/>
              <w:jc w:val="right"/>
            </w:pPr>
            <w:r w:rsidRPr="00483E2A">
              <w:t>947</w:t>
            </w:r>
          </w:p>
        </w:tc>
        <w:tc>
          <w:tcPr>
            <w:tcW w:w="1109" w:type="dxa"/>
            <w:tcBorders>
              <w:bottom w:val="nil"/>
            </w:tcBorders>
            <w:shd w:val="clear" w:color="auto" w:fill="DDD9C3" w:themeFill="background2" w:themeFillShade="E6"/>
          </w:tcPr>
          <w:p w:rsidR="00E87BC9" w:rsidRPr="0050485C" w:rsidRDefault="00E87BC9" w:rsidP="001D0E30">
            <w:pPr>
              <w:jc w:val="right"/>
            </w:pPr>
            <w:r w:rsidRPr="0050485C">
              <w:t>152</w:t>
            </w:r>
          </w:p>
        </w:tc>
      </w:tr>
      <w:tr w:rsidR="00E87BC9" w:rsidRPr="00483E2A" w:rsidTr="00E87BC9">
        <w:trPr>
          <w:jc w:val="center"/>
        </w:trPr>
        <w:tc>
          <w:tcPr>
            <w:tcW w:w="1196" w:type="dxa"/>
            <w:tcBorders>
              <w:top w:val="nil"/>
              <w:bottom w:val="nil"/>
            </w:tcBorders>
          </w:tcPr>
          <w:p w:rsidR="00E87BC9" w:rsidRPr="00483E2A" w:rsidRDefault="00E87BC9" w:rsidP="00E87BC9">
            <w:pPr>
              <w:pStyle w:val="Tablelist"/>
              <w:jc w:val="center"/>
            </w:pPr>
            <w:r>
              <w:t>1</w:t>
            </w:r>
          </w:p>
        </w:tc>
        <w:tc>
          <w:tcPr>
            <w:tcW w:w="3874" w:type="dxa"/>
            <w:tcBorders>
              <w:top w:val="nil"/>
              <w:bottom w:val="nil"/>
            </w:tcBorders>
          </w:tcPr>
          <w:p w:rsidR="00E87BC9" w:rsidRPr="00483E2A" w:rsidRDefault="00E87BC9" w:rsidP="00215216">
            <w:pPr>
              <w:pStyle w:val="Tablelist"/>
            </w:pPr>
            <w:r w:rsidRPr="00483E2A">
              <w:t>Projects under Construction</w:t>
            </w:r>
          </w:p>
        </w:tc>
        <w:tc>
          <w:tcPr>
            <w:tcW w:w="1260" w:type="dxa"/>
            <w:tcBorders>
              <w:top w:val="nil"/>
              <w:bottom w:val="nil"/>
            </w:tcBorders>
          </w:tcPr>
          <w:p w:rsidR="00E87BC9" w:rsidRPr="00483E2A" w:rsidRDefault="00E87BC9" w:rsidP="001D0E30">
            <w:pPr>
              <w:pStyle w:val="Tablelist"/>
              <w:jc w:val="center"/>
            </w:pPr>
            <w:r w:rsidRPr="00483E2A">
              <w:t>2015</w:t>
            </w:r>
          </w:p>
        </w:tc>
        <w:tc>
          <w:tcPr>
            <w:tcW w:w="1080" w:type="dxa"/>
            <w:tcBorders>
              <w:top w:val="nil"/>
              <w:bottom w:val="nil"/>
            </w:tcBorders>
          </w:tcPr>
          <w:p w:rsidR="00E87BC9" w:rsidRPr="00483E2A" w:rsidRDefault="00E87BC9" w:rsidP="001D0E30">
            <w:pPr>
              <w:pStyle w:val="Tablelist"/>
              <w:jc w:val="right"/>
            </w:pPr>
            <w:r w:rsidRPr="00483E2A">
              <w:t>989</w:t>
            </w:r>
          </w:p>
        </w:tc>
        <w:tc>
          <w:tcPr>
            <w:tcW w:w="1109" w:type="dxa"/>
            <w:tcBorders>
              <w:top w:val="nil"/>
              <w:bottom w:val="nil"/>
            </w:tcBorders>
            <w:shd w:val="clear" w:color="auto" w:fill="DDD9C3" w:themeFill="background2" w:themeFillShade="E6"/>
          </w:tcPr>
          <w:p w:rsidR="00E87BC9" w:rsidRPr="0050485C" w:rsidRDefault="00E87BC9" w:rsidP="001D0E30">
            <w:pPr>
              <w:jc w:val="right"/>
            </w:pPr>
            <w:r w:rsidRPr="0050485C">
              <w:t>158</w:t>
            </w:r>
          </w:p>
        </w:tc>
      </w:tr>
      <w:tr w:rsidR="00E87BC9" w:rsidRPr="00483E2A" w:rsidTr="00E87BC9">
        <w:trPr>
          <w:jc w:val="center"/>
        </w:trPr>
        <w:tc>
          <w:tcPr>
            <w:tcW w:w="1196" w:type="dxa"/>
            <w:tcBorders>
              <w:top w:val="nil"/>
              <w:bottom w:val="nil"/>
            </w:tcBorders>
          </w:tcPr>
          <w:p w:rsidR="00E87BC9" w:rsidRPr="00483E2A" w:rsidRDefault="00E87BC9" w:rsidP="00E87BC9">
            <w:pPr>
              <w:pStyle w:val="Tablelist"/>
              <w:jc w:val="center"/>
            </w:pPr>
            <w:r>
              <w:t>2</w:t>
            </w:r>
          </w:p>
        </w:tc>
        <w:tc>
          <w:tcPr>
            <w:tcW w:w="3874" w:type="dxa"/>
            <w:tcBorders>
              <w:top w:val="nil"/>
              <w:bottom w:val="nil"/>
            </w:tcBorders>
          </w:tcPr>
          <w:p w:rsidR="00E87BC9" w:rsidRPr="00713245" w:rsidRDefault="00E87BC9" w:rsidP="00215216">
            <w:pPr>
              <w:pStyle w:val="Tablelist"/>
            </w:pPr>
            <w:r w:rsidRPr="00713245">
              <w:t>Increase from 7 to 10 GW</w:t>
            </w:r>
          </w:p>
        </w:tc>
        <w:tc>
          <w:tcPr>
            <w:tcW w:w="1260" w:type="dxa"/>
            <w:tcBorders>
              <w:top w:val="nil"/>
              <w:bottom w:val="nil"/>
            </w:tcBorders>
          </w:tcPr>
          <w:p w:rsidR="00E87BC9" w:rsidRPr="00483E2A" w:rsidRDefault="00E87BC9" w:rsidP="001D0E30">
            <w:pPr>
              <w:pStyle w:val="Tablelist"/>
              <w:jc w:val="center"/>
            </w:pPr>
            <w:r w:rsidRPr="00483E2A">
              <w:t>2017</w:t>
            </w:r>
          </w:p>
        </w:tc>
        <w:tc>
          <w:tcPr>
            <w:tcW w:w="1080" w:type="dxa"/>
            <w:tcBorders>
              <w:top w:val="nil"/>
              <w:bottom w:val="nil"/>
            </w:tcBorders>
          </w:tcPr>
          <w:p w:rsidR="00E87BC9" w:rsidRPr="00713245" w:rsidRDefault="00E87BC9" w:rsidP="001D0E30">
            <w:pPr>
              <w:pStyle w:val="Tablelist"/>
              <w:jc w:val="right"/>
            </w:pPr>
            <w:r w:rsidRPr="00713245">
              <w:t>2,208</w:t>
            </w:r>
          </w:p>
        </w:tc>
        <w:tc>
          <w:tcPr>
            <w:tcW w:w="1109" w:type="dxa"/>
            <w:tcBorders>
              <w:top w:val="nil"/>
              <w:bottom w:val="nil"/>
            </w:tcBorders>
            <w:shd w:val="clear" w:color="auto" w:fill="DDD9C3" w:themeFill="background2" w:themeFillShade="E6"/>
          </w:tcPr>
          <w:p w:rsidR="00E87BC9" w:rsidRPr="0050485C" w:rsidRDefault="00E87BC9" w:rsidP="001D0E30">
            <w:pPr>
              <w:jc w:val="right"/>
            </w:pPr>
            <w:r w:rsidRPr="0050485C">
              <w:t>353</w:t>
            </w:r>
          </w:p>
        </w:tc>
      </w:tr>
      <w:tr w:rsidR="00E87BC9" w:rsidRPr="00483E2A" w:rsidTr="00E87BC9">
        <w:trPr>
          <w:jc w:val="center"/>
        </w:trPr>
        <w:tc>
          <w:tcPr>
            <w:tcW w:w="1196" w:type="dxa"/>
            <w:tcBorders>
              <w:top w:val="nil"/>
              <w:bottom w:val="nil"/>
            </w:tcBorders>
          </w:tcPr>
          <w:p w:rsidR="00E87BC9" w:rsidRPr="00483E2A" w:rsidRDefault="00E87BC9" w:rsidP="00E87BC9">
            <w:pPr>
              <w:pStyle w:val="Tablelist"/>
              <w:jc w:val="center"/>
            </w:pPr>
            <w:r w:rsidRPr="00483E2A">
              <w:t>3</w:t>
            </w:r>
          </w:p>
        </w:tc>
        <w:tc>
          <w:tcPr>
            <w:tcW w:w="3874" w:type="dxa"/>
            <w:tcBorders>
              <w:top w:val="nil"/>
              <w:bottom w:val="nil"/>
            </w:tcBorders>
          </w:tcPr>
          <w:p w:rsidR="00E87BC9" w:rsidRPr="00483E2A" w:rsidRDefault="00E87BC9" w:rsidP="00215216">
            <w:pPr>
              <w:pStyle w:val="Tablelist"/>
            </w:pPr>
            <w:r>
              <w:t xml:space="preserve">Increase from 10 to </w:t>
            </w:r>
            <w:r w:rsidRPr="00483E2A">
              <w:t>13 GW</w:t>
            </w:r>
          </w:p>
        </w:tc>
        <w:tc>
          <w:tcPr>
            <w:tcW w:w="1260" w:type="dxa"/>
            <w:tcBorders>
              <w:top w:val="nil"/>
              <w:bottom w:val="nil"/>
            </w:tcBorders>
          </w:tcPr>
          <w:p w:rsidR="00E87BC9" w:rsidRPr="00483E2A" w:rsidRDefault="00E87BC9" w:rsidP="001D0E30">
            <w:pPr>
              <w:pStyle w:val="Tablelist"/>
              <w:jc w:val="center"/>
            </w:pPr>
            <w:r w:rsidRPr="00483E2A">
              <w:t>2018</w:t>
            </w:r>
          </w:p>
        </w:tc>
        <w:tc>
          <w:tcPr>
            <w:tcW w:w="1080" w:type="dxa"/>
            <w:tcBorders>
              <w:top w:val="nil"/>
              <w:bottom w:val="nil"/>
            </w:tcBorders>
          </w:tcPr>
          <w:p w:rsidR="00E87BC9" w:rsidRPr="00483E2A" w:rsidRDefault="00E87BC9" w:rsidP="001D0E30">
            <w:pPr>
              <w:pStyle w:val="Tablelist"/>
              <w:jc w:val="right"/>
            </w:pPr>
            <w:r w:rsidRPr="00483E2A">
              <w:t>1,570</w:t>
            </w:r>
          </w:p>
        </w:tc>
        <w:tc>
          <w:tcPr>
            <w:tcW w:w="1109" w:type="dxa"/>
            <w:tcBorders>
              <w:top w:val="nil"/>
              <w:bottom w:val="nil"/>
            </w:tcBorders>
            <w:shd w:val="clear" w:color="auto" w:fill="DDD9C3" w:themeFill="background2" w:themeFillShade="E6"/>
          </w:tcPr>
          <w:p w:rsidR="00E87BC9" w:rsidRPr="0050485C" w:rsidRDefault="00E87BC9" w:rsidP="001D0E30">
            <w:pPr>
              <w:jc w:val="right"/>
            </w:pPr>
            <w:r w:rsidRPr="0050485C">
              <w:t>251</w:t>
            </w:r>
          </w:p>
        </w:tc>
      </w:tr>
      <w:tr w:rsidR="00E87BC9" w:rsidRPr="00483E2A" w:rsidTr="00E87BC9">
        <w:trPr>
          <w:jc w:val="center"/>
        </w:trPr>
        <w:tc>
          <w:tcPr>
            <w:tcW w:w="1196" w:type="dxa"/>
            <w:tcBorders>
              <w:top w:val="nil"/>
              <w:bottom w:val="nil"/>
            </w:tcBorders>
          </w:tcPr>
          <w:p w:rsidR="00E87BC9" w:rsidRPr="00483E2A" w:rsidRDefault="00E87BC9" w:rsidP="00E87BC9">
            <w:pPr>
              <w:pStyle w:val="Tablelist"/>
              <w:jc w:val="center"/>
            </w:pPr>
            <w:r w:rsidRPr="00483E2A">
              <w:t>4</w:t>
            </w:r>
          </w:p>
        </w:tc>
        <w:tc>
          <w:tcPr>
            <w:tcW w:w="3874" w:type="dxa"/>
            <w:tcBorders>
              <w:top w:val="nil"/>
              <w:bottom w:val="nil"/>
            </w:tcBorders>
          </w:tcPr>
          <w:p w:rsidR="00E87BC9" w:rsidRPr="00483E2A" w:rsidRDefault="00E87BC9" w:rsidP="00215216">
            <w:pPr>
              <w:pStyle w:val="Tablelist"/>
            </w:pPr>
            <w:r>
              <w:t>Increase from 13 to 16 GW</w:t>
            </w:r>
          </w:p>
        </w:tc>
        <w:tc>
          <w:tcPr>
            <w:tcW w:w="1260" w:type="dxa"/>
            <w:tcBorders>
              <w:top w:val="nil"/>
              <w:bottom w:val="nil"/>
            </w:tcBorders>
          </w:tcPr>
          <w:p w:rsidR="00E87BC9" w:rsidRPr="00483E2A" w:rsidRDefault="00E87BC9" w:rsidP="001D0E30">
            <w:pPr>
              <w:pStyle w:val="Tablelist"/>
              <w:jc w:val="center"/>
            </w:pPr>
            <w:r w:rsidRPr="00483E2A">
              <w:t>2019</w:t>
            </w:r>
          </w:p>
        </w:tc>
        <w:tc>
          <w:tcPr>
            <w:tcW w:w="1080" w:type="dxa"/>
            <w:tcBorders>
              <w:top w:val="nil"/>
              <w:bottom w:val="nil"/>
            </w:tcBorders>
          </w:tcPr>
          <w:p w:rsidR="00E87BC9" w:rsidRPr="00483E2A" w:rsidRDefault="00E87BC9" w:rsidP="001D0E30">
            <w:pPr>
              <w:pStyle w:val="Tablelist"/>
              <w:jc w:val="right"/>
            </w:pPr>
            <w:r w:rsidRPr="00483E2A">
              <w:t>1,000</w:t>
            </w:r>
          </w:p>
        </w:tc>
        <w:tc>
          <w:tcPr>
            <w:tcW w:w="1109" w:type="dxa"/>
            <w:tcBorders>
              <w:top w:val="nil"/>
              <w:bottom w:val="nil"/>
            </w:tcBorders>
            <w:shd w:val="clear" w:color="auto" w:fill="DDD9C3" w:themeFill="background2" w:themeFillShade="E6"/>
          </w:tcPr>
          <w:p w:rsidR="00E87BC9" w:rsidRPr="0050485C" w:rsidRDefault="00E87BC9" w:rsidP="001D0E30">
            <w:pPr>
              <w:jc w:val="right"/>
            </w:pPr>
            <w:r w:rsidRPr="0050485C">
              <w:t>160</w:t>
            </w:r>
          </w:p>
        </w:tc>
      </w:tr>
      <w:tr w:rsidR="00E87BC9" w:rsidRPr="00483E2A" w:rsidTr="00E87BC9">
        <w:trPr>
          <w:jc w:val="center"/>
        </w:trPr>
        <w:tc>
          <w:tcPr>
            <w:tcW w:w="1196" w:type="dxa"/>
            <w:tcBorders>
              <w:top w:val="nil"/>
            </w:tcBorders>
          </w:tcPr>
          <w:p w:rsidR="00E87BC9" w:rsidRPr="00483E2A" w:rsidRDefault="00E87BC9" w:rsidP="00E87BC9">
            <w:pPr>
              <w:pStyle w:val="Tablelist"/>
              <w:jc w:val="center"/>
            </w:pPr>
            <w:r w:rsidRPr="00483E2A">
              <w:t>5</w:t>
            </w:r>
          </w:p>
        </w:tc>
        <w:tc>
          <w:tcPr>
            <w:tcW w:w="3874" w:type="dxa"/>
            <w:tcBorders>
              <w:top w:val="nil"/>
            </w:tcBorders>
          </w:tcPr>
          <w:p w:rsidR="00E87BC9" w:rsidRPr="00483E2A" w:rsidRDefault="00E87BC9" w:rsidP="00215216">
            <w:pPr>
              <w:pStyle w:val="Tablelist"/>
            </w:pPr>
            <w:r>
              <w:t>Increase from 16 to 20 GW</w:t>
            </w:r>
          </w:p>
        </w:tc>
        <w:tc>
          <w:tcPr>
            <w:tcW w:w="1260" w:type="dxa"/>
            <w:tcBorders>
              <w:top w:val="nil"/>
            </w:tcBorders>
          </w:tcPr>
          <w:p w:rsidR="00E87BC9" w:rsidRPr="00483E2A" w:rsidRDefault="00E87BC9" w:rsidP="001D0E30">
            <w:pPr>
              <w:pStyle w:val="Tablelist"/>
              <w:jc w:val="center"/>
            </w:pPr>
            <w:r w:rsidRPr="00483E2A">
              <w:t>2020</w:t>
            </w:r>
          </w:p>
        </w:tc>
        <w:tc>
          <w:tcPr>
            <w:tcW w:w="1080" w:type="dxa"/>
            <w:tcBorders>
              <w:top w:val="nil"/>
            </w:tcBorders>
          </w:tcPr>
          <w:p w:rsidR="00E87BC9" w:rsidRPr="00483E2A" w:rsidRDefault="00E87BC9" w:rsidP="001D0E30">
            <w:pPr>
              <w:pStyle w:val="Tablelist"/>
              <w:jc w:val="right"/>
            </w:pPr>
            <w:r w:rsidRPr="00483E2A">
              <w:t>1,000</w:t>
            </w:r>
          </w:p>
        </w:tc>
        <w:tc>
          <w:tcPr>
            <w:tcW w:w="1109" w:type="dxa"/>
            <w:tcBorders>
              <w:top w:val="nil"/>
            </w:tcBorders>
            <w:shd w:val="clear" w:color="auto" w:fill="DDD9C3" w:themeFill="background2" w:themeFillShade="E6"/>
          </w:tcPr>
          <w:p w:rsidR="00E87BC9" w:rsidRPr="0050485C" w:rsidRDefault="00E87BC9" w:rsidP="001D0E30">
            <w:pPr>
              <w:jc w:val="right"/>
            </w:pPr>
            <w:r w:rsidRPr="0050485C">
              <w:t>160</w:t>
            </w:r>
          </w:p>
        </w:tc>
      </w:tr>
      <w:tr w:rsidR="00E87BC9" w:rsidRPr="001D0E30" w:rsidTr="00E87BC9">
        <w:trPr>
          <w:jc w:val="center"/>
        </w:trPr>
        <w:tc>
          <w:tcPr>
            <w:tcW w:w="1196" w:type="dxa"/>
          </w:tcPr>
          <w:p w:rsidR="00E87BC9" w:rsidRPr="001D0E30" w:rsidRDefault="00E87BC9" w:rsidP="00E87BC9">
            <w:pPr>
              <w:pStyle w:val="Tablelist"/>
              <w:jc w:val="center"/>
              <w:rPr>
                <w:b/>
              </w:rPr>
            </w:pPr>
            <w:r w:rsidRPr="001D0E30">
              <w:rPr>
                <w:b/>
              </w:rPr>
              <w:t>Total</w:t>
            </w:r>
          </w:p>
        </w:tc>
        <w:tc>
          <w:tcPr>
            <w:tcW w:w="3874" w:type="dxa"/>
          </w:tcPr>
          <w:p w:rsidR="00E87BC9" w:rsidRPr="001D0E30" w:rsidRDefault="00E87BC9" w:rsidP="00215216">
            <w:pPr>
              <w:pStyle w:val="Tablelist"/>
              <w:rPr>
                <w:b/>
              </w:rPr>
            </w:pPr>
          </w:p>
        </w:tc>
        <w:tc>
          <w:tcPr>
            <w:tcW w:w="1260" w:type="dxa"/>
          </w:tcPr>
          <w:p w:rsidR="00E87BC9" w:rsidRPr="001D0E30" w:rsidRDefault="00E87BC9" w:rsidP="001D0E30">
            <w:pPr>
              <w:pStyle w:val="Tablelist"/>
              <w:jc w:val="center"/>
              <w:rPr>
                <w:b/>
              </w:rPr>
            </w:pPr>
          </w:p>
        </w:tc>
        <w:tc>
          <w:tcPr>
            <w:tcW w:w="1080" w:type="dxa"/>
          </w:tcPr>
          <w:p w:rsidR="00E87BC9" w:rsidRPr="001D0E30" w:rsidRDefault="00E87BC9" w:rsidP="001D0E30">
            <w:pPr>
              <w:pStyle w:val="Tablelist"/>
              <w:jc w:val="right"/>
              <w:rPr>
                <w:b/>
              </w:rPr>
            </w:pPr>
            <w:r w:rsidRPr="001D0E30">
              <w:rPr>
                <w:b/>
              </w:rPr>
              <w:t>7,742</w:t>
            </w:r>
          </w:p>
        </w:tc>
        <w:tc>
          <w:tcPr>
            <w:tcW w:w="1109" w:type="dxa"/>
            <w:shd w:val="clear" w:color="auto" w:fill="DDD9C3" w:themeFill="background2" w:themeFillShade="E6"/>
          </w:tcPr>
          <w:p w:rsidR="00E87BC9" w:rsidRPr="001D0E30" w:rsidRDefault="00E87BC9" w:rsidP="001D0E30">
            <w:pPr>
              <w:jc w:val="right"/>
              <w:rPr>
                <w:b/>
              </w:rPr>
            </w:pPr>
            <w:r w:rsidRPr="001D0E30">
              <w:rPr>
                <w:b/>
              </w:rPr>
              <w:t>1,239</w:t>
            </w:r>
          </w:p>
        </w:tc>
      </w:tr>
    </w:tbl>
    <w:p w:rsidR="00713245" w:rsidRDefault="00713245" w:rsidP="00215216"/>
    <w:p w:rsidR="00713245" w:rsidRDefault="00713245" w:rsidP="00215216">
      <w:pPr>
        <w:pStyle w:val="Heading2"/>
      </w:pPr>
      <w:bookmarkStart w:id="24" w:name="_Toc382658228"/>
      <w:r>
        <w:t>Project Prioritization</w:t>
      </w:r>
      <w:bookmarkEnd w:id="24"/>
    </w:p>
    <w:p w:rsidR="00133F08" w:rsidRDefault="00133F08" w:rsidP="00215216">
      <w:r>
        <w:t>To the extent possible, TCN prefers to direct the available capital funding from investors to the projects that will address the most immediate needs.  TSP has developed the following prioritization for the transmission refurbishment and expansion program:</w:t>
      </w:r>
    </w:p>
    <w:p w:rsidR="00713245" w:rsidRDefault="00713245" w:rsidP="001D0E30">
      <w:pPr>
        <w:pStyle w:val="bullet"/>
      </w:pPr>
      <w:r>
        <w:t xml:space="preserve">First </w:t>
      </w:r>
      <w:r w:rsidR="00133F08">
        <w:t>p</w:t>
      </w:r>
      <w:r>
        <w:t xml:space="preserve">riority: </w:t>
      </w:r>
      <w:r w:rsidR="00133F08">
        <w:t>c</w:t>
      </w:r>
      <w:r>
        <w:t>ritical refurbishment &amp; replacement</w:t>
      </w:r>
    </w:p>
    <w:p w:rsidR="00713245" w:rsidRDefault="00713245" w:rsidP="001D0E30">
      <w:pPr>
        <w:pStyle w:val="bullet"/>
      </w:pPr>
      <w:r>
        <w:t xml:space="preserve">Second </w:t>
      </w:r>
      <w:r w:rsidR="00133F08">
        <w:t>p</w:t>
      </w:r>
      <w:r>
        <w:t xml:space="preserve">riority: </w:t>
      </w:r>
      <w:r w:rsidR="00133F08">
        <w:t>c</w:t>
      </w:r>
      <w:r>
        <w:t>ritical on-going projects to be completed</w:t>
      </w:r>
    </w:p>
    <w:p w:rsidR="00713245" w:rsidRPr="00713245" w:rsidRDefault="00713245" w:rsidP="001D0E30">
      <w:pPr>
        <w:pStyle w:val="outofbullet2"/>
      </w:pPr>
      <w:r>
        <w:t xml:space="preserve">Third </w:t>
      </w:r>
      <w:r w:rsidR="00133F08">
        <w:t>p</w:t>
      </w:r>
      <w:r>
        <w:t xml:space="preserve">riority: </w:t>
      </w:r>
      <w:r w:rsidR="00133F08">
        <w:t>p</w:t>
      </w:r>
      <w:r>
        <w:t>rojects to increase wheeling capability (to be started in parallel with above)</w:t>
      </w:r>
    </w:p>
    <w:p w:rsidR="00805E05" w:rsidRPr="001D0E30" w:rsidRDefault="00133F08" w:rsidP="001D0E30">
      <w:pPr>
        <w:keepNext/>
        <w:rPr>
          <w:b/>
          <w:i/>
        </w:rPr>
      </w:pPr>
      <w:r w:rsidRPr="001D0E30">
        <w:rPr>
          <w:b/>
          <w:i/>
        </w:rPr>
        <w:t>First priority: critical refurbishment &amp; replacement</w:t>
      </w:r>
    </w:p>
    <w:p w:rsidR="00683D4F" w:rsidRPr="00683D4F" w:rsidRDefault="00283E70" w:rsidP="00215216">
      <w:r>
        <w:fldChar w:fldCharType="begin"/>
      </w:r>
      <w:r w:rsidR="007D013B">
        <w:instrText xml:space="preserve"> REF _Ref382570679 \h </w:instrText>
      </w:r>
      <w:r>
        <w:fldChar w:fldCharType="separate"/>
      </w:r>
      <w:r w:rsidR="002F19E0">
        <w:t xml:space="preserve">Table </w:t>
      </w:r>
      <w:r w:rsidR="002F19E0">
        <w:rPr>
          <w:noProof/>
        </w:rPr>
        <w:t>10</w:t>
      </w:r>
      <w:r>
        <w:fldChar w:fldCharType="end"/>
      </w:r>
      <w:r w:rsidR="00683D4F" w:rsidRPr="00683D4F">
        <w:t xml:space="preserve"> shows the funding requirements for critical refurbishment and replacement projects.  </w:t>
      </w:r>
      <w:r w:rsidR="00683D4F">
        <w:t xml:space="preserve">The </w:t>
      </w:r>
      <w:r w:rsidR="00215216">
        <w:t xml:space="preserve">purpose of this set of </w:t>
      </w:r>
      <w:r w:rsidR="00683D4F">
        <w:t xml:space="preserve">projects </w:t>
      </w:r>
      <w:r w:rsidR="00215216">
        <w:t>is</w:t>
      </w:r>
      <w:r w:rsidR="00683D4F">
        <w:t xml:space="preserve"> to restore the reliability and stability of the existing system.</w:t>
      </w:r>
    </w:p>
    <w:p w:rsidR="00F76862" w:rsidRDefault="00F76862" w:rsidP="00215216">
      <w:pPr>
        <w:pStyle w:val="Caption"/>
      </w:pPr>
      <w:bookmarkStart w:id="25" w:name="_Ref382570679"/>
      <w:r>
        <w:t xml:space="preserve">Table </w:t>
      </w:r>
      <w:fldSimple w:instr=" SEQ Table \* ARABIC ">
        <w:r w:rsidR="002F19E0">
          <w:rPr>
            <w:noProof/>
          </w:rPr>
          <w:t>10</w:t>
        </w:r>
      </w:fldSimple>
      <w:bookmarkEnd w:id="25"/>
      <w:r>
        <w:t>: Funding Requirements for C</w:t>
      </w:r>
      <w:r w:rsidRPr="00F76862">
        <w:t xml:space="preserve">ritical </w:t>
      </w:r>
      <w:r>
        <w:t>R</w:t>
      </w:r>
      <w:r w:rsidRPr="00F76862">
        <w:t xml:space="preserve">efurbishment &amp; </w:t>
      </w:r>
      <w:r>
        <w:t>R</w:t>
      </w:r>
      <w:r w:rsidRPr="00F76862">
        <w:t>eplacement</w:t>
      </w:r>
    </w:p>
    <w:tbl>
      <w:tblPr>
        <w:tblStyle w:val="TableGrid"/>
        <w:tblW w:w="0" w:type="auto"/>
        <w:jc w:val="center"/>
        <w:tblLook w:val="04A0"/>
      </w:tblPr>
      <w:tblGrid>
        <w:gridCol w:w="4158"/>
        <w:gridCol w:w="1080"/>
        <w:gridCol w:w="1080"/>
        <w:gridCol w:w="1170"/>
      </w:tblGrid>
      <w:tr w:rsidR="00133F08" w:rsidRPr="00F76862" w:rsidTr="00F76862">
        <w:trPr>
          <w:jc w:val="center"/>
        </w:trPr>
        <w:tc>
          <w:tcPr>
            <w:tcW w:w="4158" w:type="dxa"/>
          </w:tcPr>
          <w:p w:rsidR="00133F08" w:rsidRPr="00F76862" w:rsidRDefault="00133F08" w:rsidP="00215216">
            <w:pPr>
              <w:pStyle w:val="Tablelist"/>
            </w:pPr>
            <w:r w:rsidRPr="00F76862">
              <w:t xml:space="preserve">Category </w:t>
            </w:r>
          </w:p>
        </w:tc>
        <w:tc>
          <w:tcPr>
            <w:tcW w:w="1080" w:type="dxa"/>
          </w:tcPr>
          <w:p w:rsidR="00133F08" w:rsidRPr="00F76862" w:rsidRDefault="00133F08" w:rsidP="00A72201">
            <w:pPr>
              <w:pStyle w:val="Tablelist"/>
              <w:jc w:val="center"/>
            </w:pPr>
            <w:r w:rsidRPr="00F76862">
              <w:t>No.</w:t>
            </w:r>
          </w:p>
        </w:tc>
        <w:tc>
          <w:tcPr>
            <w:tcW w:w="1080" w:type="dxa"/>
          </w:tcPr>
          <w:p w:rsidR="00133F08" w:rsidRPr="00F76862" w:rsidRDefault="00133F08" w:rsidP="00A72201">
            <w:pPr>
              <w:pStyle w:val="Tablelist"/>
              <w:jc w:val="center"/>
            </w:pPr>
            <w:r w:rsidRPr="00F76862">
              <w:t>USD ml</w:t>
            </w:r>
          </w:p>
        </w:tc>
        <w:tc>
          <w:tcPr>
            <w:tcW w:w="1170" w:type="dxa"/>
          </w:tcPr>
          <w:p w:rsidR="00133F08" w:rsidRPr="00F76862" w:rsidRDefault="00133F08" w:rsidP="00A72201">
            <w:pPr>
              <w:pStyle w:val="Tablelist"/>
              <w:jc w:val="center"/>
            </w:pPr>
            <w:r w:rsidRPr="00F76862">
              <w:t xml:space="preserve">NGN </w:t>
            </w:r>
            <w:proofErr w:type="spellStart"/>
            <w:r w:rsidRPr="00F76862">
              <w:t>bn</w:t>
            </w:r>
            <w:proofErr w:type="spellEnd"/>
          </w:p>
        </w:tc>
      </w:tr>
      <w:tr w:rsidR="00F76862" w:rsidRPr="00133F08" w:rsidTr="00F76862">
        <w:trPr>
          <w:jc w:val="center"/>
        </w:trPr>
        <w:tc>
          <w:tcPr>
            <w:tcW w:w="4158" w:type="dxa"/>
          </w:tcPr>
          <w:p w:rsidR="00F76862" w:rsidRPr="00133F08" w:rsidRDefault="00F76862" w:rsidP="00215216">
            <w:pPr>
              <w:pStyle w:val="Tablelist"/>
            </w:pPr>
            <w:r w:rsidRPr="00133F08">
              <w:t xml:space="preserve">Replacement of breakdown equipment </w:t>
            </w:r>
          </w:p>
        </w:tc>
        <w:tc>
          <w:tcPr>
            <w:tcW w:w="1080" w:type="dxa"/>
          </w:tcPr>
          <w:p w:rsidR="00F76862" w:rsidRPr="00133F08" w:rsidRDefault="00F76862" w:rsidP="00A72201">
            <w:pPr>
              <w:pStyle w:val="Tablelist"/>
              <w:jc w:val="center"/>
            </w:pPr>
            <w:r w:rsidRPr="00133F08">
              <w:t>116</w:t>
            </w:r>
          </w:p>
        </w:tc>
        <w:tc>
          <w:tcPr>
            <w:tcW w:w="1080" w:type="dxa"/>
          </w:tcPr>
          <w:p w:rsidR="00F76862" w:rsidRPr="00596066" w:rsidRDefault="00F76862" w:rsidP="00A72201">
            <w:pPr>
              <w:pStyle w:val="Tablelist"/>
              <w:jc w:val="center"/>
            </w:pPr>
            <w:r w:rsidRPr="00596066">
              <w:t>32</w:t>
            </w:r>
          </w:p>
        </w:tc>
        <w:tc>
          <w:tcPr>
            <w:tcW w:w="1170" w:type="dxa"/>
          </w:tcPr>
          <w:p w:rsidR="00F76862" w:rsidRPr="00133F08" w:rsidRDefault="00F76862" w:rsidP="00A72201">
            <w:pPr>
              <w:pStyle w:val="Tablelist"/>
              <w:jc w:val="center"/>
            </w:pPr>
            <w:r w:rsidRPr="00133F08">
              <w:t>5.1</w:t>
            </w:r>
          </w:p>
        </w:tc>
      </w:tr>
      <w:tr w:rsidR="00F76862" w:rsidRPr="00133F08" w:rsidTr="00F76862">
        <w:trPr>
          <w:jc w:val="center"/>
        </w:trPr>
        <w:tc>
          <w:tcPr>
            <w:tcW w:w="4158" w:type="dxa"/>
          </w:tcPr>
          <w:p w:rsidR="00F76862" w:rsidRPr="00133F08" w:rsidRDefault="00F76862" w:rsidP="00215216">
            <w:pPr>
              <w:pStyle w:val="Tablelist"/>
            </w:pPr>
            <w:r w:rsidRPr="00133F08">
              <w:t xml:space="preserve">Reinforcement Projects </w:t>
            </w:r>
          </w:p>
        </w:tc>
        <w:tc>
          <w:tcPr>
            <w:tcW w:w="1080" w:type="dxa"/>
          </w:tcPr>
          <w:p w:rsidR="00F76862" w:rsidRPr="00133F08" w:rsidRDefault="00F76862" w:rsidP="00A72201">
            <w:pPr>
              <w:pStyle w:val="Tablelist"/>
              <w:jc w:val="center"/>
            </w:pPr>
            <w:r w:rsidRPr="00133F08">
              <w:t>26</w:t>
            </w:r>
          </w:p>
        </w:tc>
        <w:tc>
          <w:tcPr>
            <w:tcW w:w="1080" w:type="dxa"/>
          </w:tcPr>
          <w:p w:rsidR="00F76862" w:rsidRPr="00596066" w:rsidRDefault="00F76862" w:rsidP="00A72201">
            <w:pPr>
              <w:pStyle w:val="Tablelist"/>
              <w:jc w:val="center"/>
            </w:pPr>
            <w:r w:rsidRPr="00596066">
              <w:t>111</w:t>
            </w:r>
          </w:p>
        </w:tc>
        <w:tc>
          <w:tcPr>
            <w:tcW w:w="1170" w:type="dxa"/>
          </w:tcPr>
          <w:p w:rsidR="00F76862" w:rsidRPr="00133F08" w:rsidRDefault="00F76862" w:rsidP="00A72201">
            <w:pPr>
              <w:pStyle w:val="Tablelist"/>
              <w:jc w:val="center"/>
            </w:pPr>
            <w:r w:rsidRPr="00133F08">
              <w:t>17.7</w:t>
            </w:r>
          </w:p>
        </w:tc>
      </w:tr>
      <w:tr w:rsidR="00F76862" w:rsidRPr="00133F08" w:rsidTr="00F76862">
        <w:trPr>
          <w:jc w:val="center"/>
        </w:trPr>
        <w:tc>
          <w:tcPr>
            <w:tcW w:w="4158" w:type="dxa"/>
          </w:tcPr>
          <w:p w:rsidR="00F76862" w:rsidRPr="00133F08" w:rsidRDefault="00F76862" w:rsidP="00215216">
            <w:pPr>
              <w:pStyle w:val="Tablelist"/>
            </w:pPr>
            <w:r w:rsidRPr="00133F08">
              <w:t xml:space="preserve">New trans lines &amp; substations </w:t>
            </w:r>
          </w:p>
        </w:tc>
        <w:tc>
          <w:tcPr>
            <w:tcW w:w="1080" w:type="dxa"/>
          </w:tcPr>
          <w:p w:rsidR="00F76862" w:rsidRPr="00133F08" w:rsidRDefault="00F76862" w:rsidP="00A72201">
            <w:pPr>
              <w:pStyle w:val="Tablelist"/>
              <w:jc w:val="center"/>
            </w:pPr>
            <w:r w:rsidRPr="00133F08">
              <w:t>10</w:t>
            </w:r>
          </w:p>
        </w:tc>
        <w:tc>
          <w:tcPr>
            <w:tcW w:w="1080" w:type="dxa"/>
          </w:tcPr>
          <w:p w:rsidR="00F76862" w:rsidRDefault="00F76862" w:rsidP="00A72201">
            <w:pPr>
              <w:pStyle w:val="Tablelist"/>
              <w:jc w:val="center"/>
            </w:pPr>
            <w:r w:rsidRPr="00596066">
              <w:t>238</w:t>
            </w:r>
          </w:p>
        </w:tc>
        <w:tc>
          <w:tcPr>
            <w:tcW w:w="1170" w:type="dxa"/>
          </w:tcPr>
          <w:p w:rsidR="00F76862" w:rsidRPr="00133F08" w:rsidRDefault="00F76862" w:rsidP="00A72201">
            <w:pPr>
              <w:pStyle w:val="Tablelist"/>
              <w:jc w:val="center"/>
            </w:pPr>
            <w:r w:rsidRPr="00133F08">
              <w:t>38.12</w:t>
            </w:r>
          </w:p>
        </w:tc>
      </w:tr>
    </w:tbl>
    <w:p w:rsidR="00133F08" w:rsidRDefault="00133F08" w:rsidP="00215216"/>
    <w:p w:rsidR="00133F08" w:rsidRDefault="00F76862" w:rsidP="00215216">
      <w:r>
        <w:t>The</w:t>
      </w:r>
      <w:r w:rsidR="00215216">
        <w:t xml:space="preserve"> refurbishment and replacement</w:t>
      </w:r>
      <w:r>
        <w:t xml:space="preserve"> projects will provide the following benefits:</w:t>
      </w:r>
    </w:p>
    <w:p w:rsidR="00F76862" w:rsidRPr="001D0E30" w:rsidRDefault="00F76862" w:rsidP="001D0E30">
      <w:pPr>
        <w:pStyle w:val="bullet"/>
      </w:pPr>
      <w:r w:rsidRPr="001D0E30">
        <w:t>Provide two country-wide 330kV double circuit loops to enhance reliability and stability</w:t>
      </w:r>
    </w:p>
    <w:p w:rsidR="00F76862" w:rsidRDefault="00F76862" w:rsidP="001D0E30">
      <w:pPr>
        <w:pStyle w:val="bullet"/>
      </w:pPr>
      <w:r>
        <w:lastRenderedPageBreak/>
        <w:t xml:space="preserve">Supplement </w:t>
      </w:r>
      <w:r w:rsidR="00683D4F">
        <w:t xml:space="preserve">the generation, transmission and distribution </w:t>
      </w:r>
      <w:r>
        <w:t>projects</w:t>
      </w:r>
      <w:r w:rsidR="00683D4F">
        <w:t xml:space="preserve"> constructed under the National Integrated Power Project (NIPP)</w:t>
      </w:r>
    </w:p>
    <w:p w:rsidR="00F76862" w:rsidRDefault="00F76862" w:rsidP="001D0E30">
      <w:pPr>
        <w:pStyle w:val="bullet"/>
      </w:pPr>
      <w:r>
        <w:t xml:space="preserve">Restore over 600 MVA transformation capacity </w:t>
      </w:r>
    </w:p>
    <w:p w:rsidR="00F76862" w:rsidRDefault="00F76862" w:rsidP="001D0E30">
      <w:pPr>
        <w:pStyle w:val="bullet"/>
      </w:pPr>
      <w:r>
        <w:t xml:space="preserve">Enhance stability and reliability of </w:t>
      </w:r>
      <w:r w:rsidR="00683D4F">
        <w:t xml:space="preserve">the </w:t>
      </w:r>
      <w:r>
        <w:t>system</w:t>
      </w:r>
    </w:p>
    <w:p w:rsidR="00F76862" w:rsidRDefault="00F76862" w:rsidP="001D0E30">
      <w:pPr>
        <w:pStyle w:val="bullet"/>
      </w:pPr>
      <w:r>
        <w:t>Alleviate overloads that lead to equipment breakdowns</w:t>
      </w:r>
    </w:p>
    <w:p w:rsidR="00F76862" w:rsidRDefault="00F76862" w:rsidP="001D0E30">
      <w:pPr>
        <w:pStyle w:val="bullet"/>
      </w:pPr>
      <w:r>
        <w:t>Mitigate frequent failures and system collapses</w:t>
      </w:r>
    </w:p>
    <w:p w:rsidR="00F76862" w:rsidRDefault="00F76862" w:rsidP="001D0E30">
      <w:pPr>
        <w:pStyle w:val="outofbullet2"/>
      </w:pPr>
      <w:r>
        <w:t>Increase WAPP wheeling revenues</w:t>
      </w:r>
    </w:p>
    <w:p w:rsidR="00F76862" w:rsidRDefault="00F76862" w:rsidP="00215216">
      <w:r>
        <w:t>The projects are considered low risk/high reward for the following reasons:</w:t>
      </w:r>
    </w:p>
    <w:p w:rsidR="00F76862" w:rsidRDefault="00F76862" w:rsidP="001D0E30">
      <w:pPr>
        <w:pStyle w:val="bullet"/>
      </w:pPr>
      <w:r>
        <w:t xml:space="preserve">No need for feasibility, </w:t>
      </w:r>
      <w:proofErr w:type="spellStart"/>
      <w:r>
        <w:t>wayleave</w:t>
      </w:r>
      <w:proofErr w:type="spellEnd"/>
      <w:r>
        <w:t>, compensation, environmental studies</w:t>
      </w:r>
    </w:p>
    <w:p w:rsidR="00F76862" w:rsidRDefault="00F76862" w:rsidP="001D0E30">
      <w:pPr>
        <w:pStyle w:val="bullet"/>
      </w:pPr>
      <w:r>
        <w:t>Short implementation time, immediate benefits</w:t>
      </w:r>
    </w:p>
    <w:p w:rsidR="00F76862" w:rsidRDefault="00F76862" w:rsidP="001D0E30">
      <w:pPr>
        <w:pStyle w:val="outofbullet2"/>
      </w:pPr>
      <w:r>
        <w:t>Relatively low cost and low risk of project completion</w:t>
      </w:r>
    </w:p>
    <w:p w:rsidR="00683D4F" w:rsidRPr="001D0E30" w:rsidRDefault="00683D4F" w:rsidP="00215216">
      <w:pPr>
        <w:rPr>
          <w:b/>
          <w:i/>
        </w:rPr>
      </w:pPr>
      <w:r w:rsidRPr="001D0E30">
        <w:rPr>
          <w:b/>
          <w:i/>
        </w:rPr>
        <w:t xml:space="preserve">Second priority: critical on-going projects </w:t>
      </w:r>
      <w:r w:rsidR="00E87BC9">
        <w:rPr>
          <w:b/>
          <w:i/>
        </w:rPr>
        <w:t xml:space="preserve">yet </w:t>
      </w:r>
      <w:r w:rsidRPr="001D0E30">
        <w:rPr>
          <w:b/>
          <w:i/>
        </w:rPr>
        <w:t xml:space="preserve">to be completed </w:t>
      </w:r>
    </w:p>
    <w:p w:rsidR="00215216" w:rsidRDefault="00283E70" w:rsidP="00215216">
      <w:r>
        <w:fldChar w:fldCharType="begin"/>
      </w:r>
      <w:r w:rsidR="007D013B">
        <w:instrText xml:space="preserve"> REF _Ref382570544 \h </w:instrText>
      </w:r>
      <w:r>
        <w:fldChar w:fldCharType="separate"/>
      </w:r>
      <w:r w:rsidR="002F19E0">
        <w:t xml:space="preserve">Table </w:t>
      </w:r>
      <w:r w:rsidR="002F19E0">
        <w:rPr>
          <w:noProof/>
        </w:rPr>
        <w:t>11</w:t>
      </w:r>
      <w:r>
        <w:fldChar w:fldCharType="end"/>
      </w:r>
      <w:r w:rsidR="00683D4F">
        <w:t xml:space="preserve"> shows summary statistics for on-going projects that have no firm commitment for timely capital cash flow. There </w:t>
      </w:r>
      <w:r w:rsidR="00683D4F" w:rsidRPr="00215216">
        <w:t>are</w:t>
      </w:r>
      <w:r w:rsidR="00683D4F">
        <w:t xml:space="preserve"> 226 such projects.  </w:t>
      </w:r>
      <w:r>
        <w:fldChar w:fldCharType="begin"/>
      </w:r>
      <w:r w:rsidR="007D013B">
        <w:instrText xml:space="preserve"> REF _Ref382571231 \h </w:instrText>
      </w:r>
      <w:r>
        <w:fldChar w:fldCharType="separate"/>
      </w:r>
      <w:r w:rsidR="002F19E0">
        <w:t xml:space="preserve">Table </w:t>
      </w:r>
      <w:r w:rsidR="002F19E0">
        <w:rPr>
          <w:noProof/>
        </w:rPr>
        <w:t>12</w:t>
      </w:r>
      <w:r>
        <w:fldChar w:fldCharType="end"/>
      </w:r>
      <w:r w:rsidR="00215216">
        <w:t xml:space="preserve"> shows a breakdown of percentage completion for the</w:t>
      </w:r>
      <w:r w:rsidR="00E87BC9">
        <w:t>se</w:t>
      </w:r>
      <w:r w:rsidR="00215216">
        <w:t xml:space="preserve"> projects.</w:t>
      </w:r>
    </w:p>
    <w:p w:rsidR="00683D4F" w:rsidRDefault="00683D4F" w:rsidP="00215216">
      <w:r>
        <w:t>The</w:t>
      </w:r>
      <w:r w:rsidR="00215216">
        <w:t xml:space="preserve"> ongoing</w:t>
      </w:r>
      <w:r>
        <w:t xml:space="preserve"> projects are critically important to enhance system reliability, stability and efficiency.  Issues such as cost escalation, </w:t>
      </w:r>
      <w:proofErr w:type="spellStart"/>
      <w:r>
        <w:t>wayleave</w:t>
      </w:r>
      <w:proofErr w:type="spellEnd"/>
      <w:r>
        <w:t>, non-payment of contractor invoices, and quality control have delayed commissioning.  Delayed completion of these projects limits TCN’s ability to start new projects and stay ahead of the expansion targets</w:t>
      </w:r>
    </w:p>
    <w:p w:rsidR="00683D4F" w:rsidRDefault="00683D4F" w:rsidP="00215216">
      <w:pPr>
        <w:pStyle w:val="Caption"/>
      </w:pPr>
      <w:bookmarkStart w:id="26" w:name="_Ref382570544"/>
      <w:r>
        <w:t xml:space="preserve">Table </w:t>
      </w:r>
      <w:fldSimple w:instr=" SEQ Table \* ARABIC ">
        <w:r w:rsidR="002F19E0">
          <w:rPr>
            <w:noProof/>
          </w:rPr>
          <w:t>11</w:t>
        </w:r>
      </w:fldSimple>
      <w:bookmarkEnd w:id="26"/>
      <w:r>
        <w:t>: Summary Statistics for Ongoing Projects</w:t>
      </w:r>
    </w:p>
    <w:tbl>
      <w:tblPr>
        <w:tblStyle w:val="TableGrid"/>
        <w:tblW w:w="5760" w:type="dxa"/>
        <w:jc w:val="center"/>
        <w:tblLook w:val="04A0"/>
      </w:tblPr>
      <w:tblGrid>
        <w:gridCol w:w="1809"/>
        <w:gridCol w:w="1899"/>
        <w:gridCol w:w="2052"/>
      </w:tblGrid>
      <w:tr w:rsidR="00683D4F" w:rsidRPr="00683D4F" w:rsidTr="00683D4F">
        <w:trPr>
          <w:jc w:val="center"/>
        </w:trPr>
        <w:tc>
          <w:tcPr>
            <w:tcW w:w="1809" w:type="dxa"/>
          </w:tcPr>
          <w:p w:rsidR="00683D4F" w:rsidRPr="00683D4F" w:rsidRDefault="00683D4F" w:rsidP="00A72201">
            <w:pPr>
              <w:pStyle w:val="Tablelist"/>
              <w:jc w:val="center"/>
            </w:pPr>
            <w:r w:rsidRPr="00683D4F">
              <w:t>Voltage Level</w:t>
            </w:r>
          </w:p>
        </w:tc>
        <w:tc>
          <w:tcPr>
            <w:tcW w:w="1899" w:type="dxa"/>
          </w:tcPr>
          <w:p w:rsidR="00683D4F" w:rsidRPr="00683D4F" w:rsidRDefault="00683D4F" w:rsidP="00A72201">
            <w:pPr>
              <w:pStyle w:val="Tablelist"/>
              <w:jc w:val="center"/>
            </w:pPr>
            <w:r w:rsidRPr="00683D4F">
              <w:t>Miles of Lines</w:t>
            </w:r>
          </w:p>
        </w:tc>
        <w:tc>
          <w:tcPr>
            <w:tcW w:w="2052" w:type="dxa"/>
          </w:tcPr>
          <w:p w:rsidR="00683D4F" w:rsidRPr="00683D4F" w:rsidRDefault="00683D4F" w:rsidP="00A72201">
            <w:pPr>
              <w:pStyle w:val="Tablelist"/>
              <w:jc w:val="center"/>
            </w:pPr>
            <w:r w:rsidRPr="00683D4F">
              <w:t>Transformation Capacity</w:t>
            </w:r>
          </w:p>
        </w:tc>
      </w:tr>
      <w:tr w:rsidR="00683D4F" w:rsidRPr="00683D4F" w:rsidTr="00683D4F">
        <w:trPr>
          <w:jc w:val="center"/>
        </w:trPr>
        <w:tc>
          <w:tcPr>
            <w:tcW w:w="1809" w:type="dxa"/>
          </w:tcPr>
          <w:p w:rsidR="00683D4F" w:rsidRPr="00683D4F" w:rsidRDefault="00683D4F" w:rsidP="00A72201">
            <w:pPr>
              <w:pStyle w:val="Tablelist"/>
              <w:jc w:val="center"/>
            </w:pPr>
            <w:r w:rsidRPr="00683D4F">
              <w:t>330 kV</w:t>
            </w:r>
          </w:p>
        </w:tc>
        <w:tc>
          <w:tcPr>
            <w:tcW w:w="1899" w:type="dxa"/>
          </w:tcPr>
          <w:p w:rsidR="00683D4F" w:rsidRPr="00683D4F" w:rsidRDefault="00683D4F" w:rsidP="00A72201">
            <w:pPr>
              <w:pStyle w:val="Tablelist"/>
              <w:jc w:val="center"/>
            </w:pPr>
            <w:r w:rsidRPr="00683D4F">
              <w:t xml:space="preserve">600 </w:t>
            </w:r>
            <w:proofErr w:type="spellStart"/>
            <w:r w:rsidRPr="00683D4F">
              <w:t>kM</w:t>
            </w:r>
            <w:proofErr w:type="spellEnd"/>
          </w:p>
        </w:tc>
        <w:tc>
          <w:tcPr>
            <w:tcW w:w="2052" w:type="dxa"/>
          </w:tcPr>
          <w:p w:rsidR="00683D4F" w:rsidRPr="00683D4F" w:rsidRDefault="00683D4F" w:rsidP="00A72201">
            <w:pPr>
              <w:pStyle w:val="Tablelist"/>
              <w:jc w:val="center"/>
            </w:pPr>
            <w:r w:rsidRPr="00683D4F">
              <w:t>3,720 MVA</w:t>
            </w:r>
          </w:p>
        </w:tc>
      </w:tr>
      <w:tr w:rsidR="00683D4F" w:rsidRPr="00683D4F" w:rsidTr="00683D4F">
        <w:trPr>
          <w:jc w:val="center"/>
        </w:trPr>
        <w:tc>
          <w:tcPr>
            <w:tcW w:w="1809" w:type="dxa"/>
          </w:tcPr>
          <w:p w:rsidR="00683D4F" w:rsidRPr="00683D4F" w:rsidRDefault="00683D4F" w:rsidP="00A72201">
            <w:pPr>
              <w:pStyle w:val="Tablelist"/>
              <w:jc w:val="center"/>
            </w:pPr>
            <w:r w:rsidRPr="00683D4F">
              <w:t>132 kV</w:t>
            </w:r>
          </w:p>
        </w:tc>
        <w:tc>
          <w:tcPr>
            <w:tcW w:w="1899" w:type="dxa"/>
          </w:tcPr>
          <w:p w:rsidR="00683D4F" w:rsidRPr="00683D4F" w:rsidRDefault="00683D4F" w:rsidP="00A72201">
            <w:pPr>
              <w:pStyle w:val="Tablelist"/>
              <w:jc w:val="center"/>
            </w:pPr>
            <w:r w:rsidRPr="00683D4F">
              <w:t xml:space="preserve">4,182 </w:t>
            </w:r>
            <w:proofErr w:type="spellStart"/>
            <w:r w:rsidRPr="00683D4F">
              <w:t>kM</w:t>
            </w:r>
            <w:proofErr w:type="spellEnd"/>
          </w:p>
        </w:tc>
        <w:tc>
          <w:tcPr>
            <w:tcW w:w="2052" w:type="dxa"/>
          </w:tcPr>
          <w:p w:rsidR="00683D4F" w:rsidRPr="00683D4F" w:rsidRDefault="00683D4F" w:rsidP="00A72201">
            <w:pPr>
              <w:pStyle w:val="Tablelist"/>
              <w:jc w:val="center"/>
            </w:pPr>
            <w:r w:rsidRPr="00683D4F">
              <w:t>5,510 MVA</w:t>
            </w:r>
          </w:p>
        </w:tc>
      </w:tr>
    </w:tbl>
    <w:p w:rsidR="00683D4F" w:rsidRDefault="00683D4F" w:rsidP="00215216"/>
    <w:p w:rsidR="00215216" w:rsidRDefault="00215216" w:rsidP="00215216">
      <w:pPr>
        <w:pStyle w:val="Caption"/>
      </w:pPr>
      <w:bookmarkStart w:id="27" w:name="_Ref382571231"/>
      <w:r>
        <w:lastRenderedPageBreak/>
        <w:t xml:space="preserve">Table </w:t>
      </w:r>
      <w:fldSimple w:instr=" SEQ Table \* ARABIC ">
        <w:r w:rsidR="002F19E0">
          <w:rPr>
            <w:noProof/>
          </w:rPr>
          <w:t>12</w:t>
        </w:r>
      </w:fldSimple>
      <w:bookmarkEnd w:id="27"/>
      <w:r>
        <w:t>: P</w:t>
      </w:r>
      <w:r w:rsidRPr="00215216">
        <w:t xml:space="preserve">ercentage </w:t>
      </w:r>
      <w:r>
        <w:t>C</w:t>
      </w:r>
      <w:r w:rsidRPr="00215216">
        <w:t xml:space="preserve">ompletion for </w:t>
      </w:r>
      <w:r>
        <w:t>O</w:t>
      </w:r>
      <w:r w:rsidRPr="00215216">
        <w:t xml:space="preserve">ngoing </w:t>
      </w:r>
      <w:r>
        <w:t>P</w:t>
      </w:r>
      <w:r w:rsidRPr="00215216">
        <w:t>rojects</w:t>
      </w:r>
      <w:r>
        <w:t xml:space="preserve"> Requiring Capital Funding</w:t>
      </w:r>
    </w:p>
    <w:tbl>
      <w:tblPr>
        <w:tblStyle w:val="TableGrid"/>
        <w:tblW w:w="7200" w:type="dxa"/>
        <w:jc w:val="center"/>
        <w:tblLook w:val="04A0"/>
      </w:tblPr>
      <w:tblGrid>
        <w:gridCol w:w="4158"/>
        <w:gridCol w:w="1440"/>
        <w:gridCol w:w="1602"/>
      </w:tblGrid>
      <w:tr w:rsidR="00215216" w:rsidRPr="00215216" w:rsidTr="00215216">
        <w:trPr>
          <w:jc w:val="center"/>
        </w:trPr>
        <w:tc>
          <w:tcPr>
            <w:tcW w:w="4158" w:type="dxa"/>
          </w:tcPr>
          <w:p w:rsidR="00215216" w:rsidRPr="00215216" w:rsidRDefault="00215216" w:rsidP="00215216">
            <w:pPr>
              <w:pStyle w:val="Tablelist"/>
            </w:pPr>
            <w:r w:rsidRPr="00215216">
              <w:t xml:space="preserve">Percent Complete </w:t>
            </w:r>
          </w:p>
        </w:tc>
        <w:tc>
          <w:tcPr>
            <w:tcW w:w="1440" w:type="dxa"/>
          </w:tcPr>
          <w:p w:rsidR="00215216" w:rsidRPr="00215216" w:rsidRDefault="00215216" w:rsidP="00A72201">
            <w:pPr>
              <w:pStyle w:val="Tablelist"/>
              <w:jc w:val="center"/>
            </w:pPr>
            <w:r w:rsidRPr="00215216">
              <w:t>Number</w:t>
            </w:r>
          </w:p>
        </w:tc>
        <w:tc>
          <w:tcPr>
            <w:tcW w:w="1602" w:type="dxa"/>
          </w:tcPr>
          <w:p w:rsidR="00215216" w:rsidRPr="00215216" w:rsidRDefault="00215216" w:rsidP="00A72201">
            <w:pPr>
              <w:pStyle w:val="Tablelist"/>
              <w:jc w:val="center"/>
            </w:pPr>
            <w:r w:rsidRPr="00215216">
              <w:t>Billion Naira</w:t>
            </w:r>
          </w:p>
        </w:tc>
      </w:tr>
      <w:tr w:rsidR="00215216" w:rsidRPr="00215216" w:rsidTr="00215216">
        <w:trPr>
          <w:jc w:val="center"/>
        </w:trPr>
        <w:tc>
          <w:tcPr>
            <w:tcW w:w="4158" w:type="dxa"/>
          </w:tcPr>
          <w:p w:rsidR="00215216" w:rsidRPr="00215216" w:rsidRDefault="00215216" w:rsidP="00215216">
            <w:pPr>
              <w:pStyle w:val="Tablelist"/>
            </w:pPr>
            <w:r w:rsidRPr="00215216">
              <w:t xml:space="preserve">Completed w/outstanding payments </w:t>
            </w:r>
          </w:p>
        </w:tc>
        <w:tc>
          <w:tcPr>
            <w:tcW w:w="1440" w:type="dxa"/>
          </w:tcPr>
          <w:p w:rsidR="00215216" w:rsidRPr="00215216" w:rsidRDefault="00215216" w:rsidP="00A72201">
            <w:pPr>
              <w:pStyle w:val="Tablelist"/>
              <w:jc w:val="center"/>
            </w:pPr>
            <w:r w:rsidRPr="00215216">
              <w:t>18</w:t>
            </w:r>
          </w:p>
        </w:tc>
        <w:tc>
          <w:tcPr>
            <w:tcW w:w="1602" w:type="dxa"/>
          </w:tcPr>
          <w:p w:rsidR="00215216" w:rsidRPr="00215216" w:rsidRDefault="00215216" w:rsidP="00A72201">
            <w:pPr>
              <w:pStyle w:val="Tablelist"/>
              <w:jc w:val="center"/>
            </w:pPr>
            <w:r w:rsidRPr="00215216">
              <w:t>1.90</w:t>
            </w:r>
          </w:p>
        </w:tc>
      </w:tr>
      <w:tr w:rsidR="00215216" w:rsidRPr="00215216" w:rsidTr="00215216">
        <w:trPr>
          <w:jc w:val="center"/>
        </w:trPr>
        <w:tc>
          <w:tcPr>
            <w:tcW w:w="4158" w:type="dxa"/>
          </w:tcPr>
          <w:p w:rsidR="00215216" w:rsidRPr="00215216" w:rsidRDefault="00215216" w:rsidP="00215216">
            <w:pPr>
              <w:pStyle w:val="Tablelist"/>
            </w:pPr>
            <w:r w:rsidRPr="00215216">
              <w:t xml:space="preserve">Projects ≥75%, &lt;100% completed </w:t>
            </w:r>
          </w:p>
        </w:tc>
        <w:tc>
          <w:tcPr>
            <w:tcW w:w="1440" w:type="dxa"/>
          </w:tcPr>
          <w:p w:rsidR="00215216" w:rsidRPr="00215216" w:rsidRDefault="00215216" w:rsidP="00A72201">
            <w:pPr>
              <w:pStyle w:val="Tablelist"/>
              <w:jc w:val="center"/>
            </w:pPr>
            <w:r w:rsidRPr="00215216">
              <w:t>36</w:t>
            </w:r>
          </w:p>
        </w:tc>
        <w:tc>
          <w:tcPr>
            <w:tcW w:w="1602" w:type="dxa"/>
          </w:tcPr>
          <w:p w:rsidR="00215216" w:rsidRPr="00215216" w:rsidRDefault="00215216" w:rsidP="00A72201">
            <w:pPr>
              <w:pStyle w:val="Tablelist"/>
              <w:jc w:val="center"/>
            </w:pPr>
            <w:r w:rsidRPr="00215216">
              <w:t>10.44</w:t>
            </w:r>
          </w:p>
        </w:tc>
      </w:tr>
      <w:tr w:rsidR="00215216" w:rsidRPr="00215216" w:rsidTr="00215216">
        <w:trPr>
          <w:jc w:val="center"/>
        </w:trPr>
        <w:tc>
          <w:tcPr>
            <w:tcW w:w="4158" w:type="dxa"/>
          </w:tcPr>
          <w:p w:rsidR="00215216" w:rsidRPr="00215216" w:rsidRDefault="00215216" w:rsidP="00215216">
            <w:pPr>
              <w:pStyle w:val="Tablelist"/>
            </w:pPr>
            <w:r w:rsidRPr="00215216">
              <w:t xml:space="preserve">Projects ≥40%, &lt;75% completed </w:t>
            </w:r>
          </w:p>
        </w:tc>
        <w:tc>
          <w:tcPr>
            <w:tcW w:w="1440" w:type="dxa"/>
          </w:tcPr>
          <w:p w:rsidR="00215216" w:rsidRPr="00215216" w:rsidRDefault="00215216" w:rsidP="00A72201">
            <w:pPr>
              <w:pStyle w:val="Tablelist"/>
              <w:jc w:val="center"/>
            </w:pPr>
            <w:r w:rsidRPr="00215216">
              <w:t>16</w:t>
            </w:r>
          </w:p>
        </w:tc>
        <w:tc>
          <w:tcPr>
            <w:tcW w:w="1602" w:type="dxa"/>
          </w:tcPr>
          <w:p w:rsidR="00215216" w:rsidRPr="00215216" w:rsidRDefault="00215216" w:rsidP="00A72201">
            <w:pPr>
              <w:pStyle w:val="Tablelist"/>
              <w:jc w:val="center"/>
            </w:pPr>
            <w:r w:rsidRPr="00215216">
              <w:t>29.41</w:t>
            </w:r>
          </w:p>
        </w:tc>
      </w:tr>
      <w:tr w:rsidR="00215216" w:rsidRPr="00215216" w:rsidTr="00215216">
        <w:trPr>
          <w:jc w:val="center"/>
        </w:trPr>
        <w:tc>
          <w:tcPr>
            <w:tcW w:w="4158" w:type="dxa"/>
          </w:tcPr>
          <w:p w:rsidR="00215216" w:rsidRPr="00215216" w:rsidRDefault="00215216" w:rsidP="00215216">
            <w:pPr>
              <w:pStyle w:val="Tablelist"/>
            </w:pPr>
            <w:r w:rsidRPr="00215216">
              <w:t xml:space="preserve">Projects ≥10%, &lt;40% completed </w:t>
            </w:r>
          </w:p>
        </w:tc>
        <w:tc>
          <w:tcPr>
            <w:tcW w:w="1440" w:type="dxa"/>
          </w:tcPr>
          <w:p w:rsidR="00215216" w:rsidRPr="00215216" w:rsidRDefault="00215216" w:rsidP="00A72201">
            <w:pPr>
              <w:pStyle w:val="Tablelist"/>
              <w:jc w:val="center"/>
            </w:pPr>
            <w:r w:rsidRPr="00215216">
              <w:t>43</w:t>
            </w:r>
          </w:p>
        </w:tc>
        <w:tc>
          <w:tcPr>
            <w:tcW w:w="1602" w:type="dxa"/>
          </w:tcPr>
          <w:p w:rsidR="00215216" w:rsidRPr="00215216" w:rsidRDefault="00215216" w:rsidP="00A72201">
            <w:pPr>
              <w:pStyle w:val="Tablelist"/>
              <w:jc w:val="center"/>
            </w:pPr>
            <w:r w:rsidRPr="00215216">
              <w:t>80.23</w:t>
            </w:r>
          </w:p>
        </w:tc>
      </w:tr>
      <w:tr w:rsidR="00215216" w:rsidRPr="00215216" w:rsidTr="00215216">
        <w:trPr>
          <w:jc w:val="center"/>
        </w:trPr>
        <w:tc>
          <w:tcPr>
            <w:tcW w:w="4158" w:type="dxa"/>
          </w:tcPr>
          <w:p w:rsidR="00215216" w:rsidRPr="00215216" w:rsidRDefault="00215216" w:rsidP="00215216">
            <w:pPr>
              <w:pStyle w:val="Tablelist"/>
            </w:pPr>
            <w:r w:rsidRPr="00215216">
              <w:t xml:space="preserve">Projects with little/no activity </w:t>
            </w:r>
          </w:p>
        </w:tc>
        <w:tc>
          <w:tcPr>
            <w:tcW w:w="1440" w:type="dxa"/>
          </w:tcPr>
          <w:p w:rsidR="00215216" w:rsidRPr="00215216" w:rsidRDefault="00215216" w:rsidP="00A72201">
            <w:pPr>
              <w:pStyle w:val="Tablelist"/>
              <w:jc w:val="center"/>
            </w:pPr>
            <w:r w:rsidRPr="00215216">
              <w:t>7</w:t>
            </w:r>
          </w:p>
        </w:tc>
        <w:tc>
          <w:tcPr>
            <w:tcW w:w="1602" w:type="dxa"/>
          </w:tcPr>
          <w:p w:rsidR="00215216" w:rsidRPr="00215216" w:rsidRDefault="00215216" w:rsidP="00A72201">
            <w:pPr>
              <w:pStyle w:val="Tablelist"/>
              <w:jc w:val="center"/>
            </w:pPr>
            <w:r w:rsidRPr="00215216">
              <w:t>20.76</w:t>
            </w:r>
          </w:p>
        </w:tc>
      </w:tr>
      <w:tr w:rsidR="00215216" w:rsidRPr="00215216" w:rsidTr="00215216">
        <w:trPr>
          <w:jc w:val="center"/>
        </w:trPr>
        <w:tc>
          <w:tcPr>
            <w:tcW w:w="4158" w:type="dxa"/>
          </w:tcPr>
          <w:p w:rsidR="00215216" w:rsidRPr="00215216" w:rsidRDefault="00215216" w:rsidP="00215216">
            <w:pPr>
              <w:pStyle w:val="Tablelist"/>
            </w:pPr>
            <w:r w:rsidRPr="00215216">
              <w:t xml:space="preserve">Projects with planning underway </w:t>
            </w:r>
          </w:p>
        </w:tc>
        <w:tc>
          <w:tcPr>
            <w:tcW w:w="1440" w:type="dxa"/>
          </w:tcPr>
          <w:p w:rsidR="00215216" w:rsidRPr="00215216" w:rsidRDefault="00215216" w:rsidP="00A72201">
            <w:pPr>
              <w:pStyle w:val="Tablelist"/>
              <w:jc w:val="center"/>
            </w:pPr>
            <w:r w:rsidRPr="00215216">
              <w:t>29</w:t>
            </w:r>
          </w:p>
        </w:tc>
        <w:tc>
          <w:tcPr>
            <w:tcW w:w="1602" w:type="dxa"/>
          </w:tcPr>
          <w:p w:rsidR="00215216" w:rsidRPr="00215216" w:rsidRDefault="00215216" w:rsidP="00A72201">
            <w:pPr>
              <w:pStyle w:val="Tablelist"/>
              <w:jc w:val="center"/>
            </w:pPr>
            <w:r w:rsidRPr="00215216">
              <w:t>5.49</w:t>
            </w:r>
          </w:p>
        </w:tc>
      </w:tr>
    </w:tbl>
    <w:p w:rsidR="00215216" w:rsidRDefault="00215216" w:rsidP="00215216"/>
    <w:p w:rsidR="00683D4F" w:rsidRPr="00E87BC9" w:rsidRDefault="00215216" w:rsidP="00215216">
      <w:pPr>
        <w:rPr>
          <w:b/>
          <w:i/>
        </w:rPr>
      </w:pPr>
      <w:r w:rsidRPr="00E87BC9">
        <w:rPr>
          <w:b/>
          <w:i/>
        </w:rPr>
        <w:t>Third priority: projects to increase wheeling capability</w:t>
      </w:r>
    </w:p>
    <w:p w:rsidR="005B7DD7" w:rsidRDefault="00E87BC9" w:rsidP="00215216">
      <w:r>
        <w:t>TCN’s immediate priority for system expansion is to i</w:t>
      </w:r>
      <w:r w:rsidRPr="00E87BC9">
        <w:t xml:space="preserve">ncrease </w:t>
      </w:r>
      <w:r>
        <w:t xml:space="preserve">system capability to wheel load </w:t>
      </w:r>
      <w:r w:rsidRPr="00E87BC9">
        <w:t xml:space="preserve">from 7 </w:t>
      </w:r>
      <w:r>
        <w:t xml:space="preserve">GW </w:t>
      </w:r>
      <w:r w:rsidRPr="00E87BC9">
        <w:t>to 10 GW</w:t>
      </w:r>
      <w:r>
        <w:t xml:space="preserve"> by </w:t>
      </w:r>
      <w:r w:rsidRPr="00E87BC9">
        <w:t>2017</w:t>
      </w:r>
      <w:r w:rsidR="005B7DD7">
        <w:t xml:space="preserve"> (“Financing Package 2”)</w:t>
      </w:r>
      <w:r>
        <w:t xml:space="preserve">.  </w:t>
      </w:r>
      <w:r w:rsidR="005B7DD7">
        <w:t xml:space="preserve">These projects must proceed on a timely basis to keep up with the anticipated expansion of generation and load.  </w:t>
      </w:r>
    </w:p>
    <w:p w:rsidR="005B7DD7" w:rsidRDefault="005B7DD7" w:rsidP="005B7DD7">
      <w:r>
        <w:t xml:space="preserve">The projects in Financing Package 2 are organized into 5 groupings based on geographical regions to optimize the overall benefits, as projects in Groups are interdependent and must be completed together.  Grouping projects within the same geographical area may be advantageous for mobilizing construction work, since all components of the group </w:t>
      </w:r>
      <w:r w:rsidR="003B4029">
        <w:t>are</w:t>
      </w:r>
      <w:r>
        <w:t xml:space="preserve"> within the same proximity.  It is the hope of TCN that funders will support a specific group of projects, or combine with others to fund a group. Once funding is in place for a specific group, contractors (or consortiums) will be invited to bid for </w:t>
      </w:r>
      <w:r w:rsidR="003B4029">
        <w:t xml:space="preserve">a contract to develop </w:t>
      </w:r>
      <w:r>
        <w:t>that group</w:t>
      </w:r>
      <w:r w:rsidR="003B4029">
        <w:t xml:space="preserve"> of projects</w:t>
      </w:r>
      <w:r>
        <w:t xml:space="preserve">.  </w:t>
      </w:r>
    </w:p>
    <w:p w:rsidR="005B7DD7" w:rsidRDefault="005B7DD7" w:rsidP="005B7DD7">
      <w:pPr>
        <w:pStyle w:val="Caption"/>
      </w:pPr>
      <w:r>
        <w:t xml:space="preserve">Table </w:t>
      </w:r>
      <w:fldSimple w:instr=" SEQ Table \* ARABIC ">
        <w:r w:rsidR="002F19E0">
          <w:rPr>
            <w:noProof/>
          </w:rPr>
          <w:t>13</w:t>
        </w:r>
      </w:fldSimple>
      <w:r>
        <w:t xml:space="preserve">: Project Groups to Expand System from </w:t>
      </w:r>
      <w:r w:rsidRPr="005B7DD7">
        <w:t>7 GW to 10 GW by 2017</w:t>
      </w:r>
    </w:p>
    <w:tbl>
      <w:tblPr>
        <w:tblStyle w:val="TableGrid"/>
        <w:tblW w:w="8640" w:type="dxa"/>
        <w:jc w:val="center"/>
        <w:tblLook w:val="04A0"/>
      </w:tblPr>
      <w:tblGrid>
        <w:gridCol w:w="876"/>
        <w:gridCol w:w="3119"/>
        <w:gridCol w:w="1476"/>
        <w:gridCol w:w="1331"/>
        <w:gridCol w:w="966"/>
        <w:gridCol w:w="872"/>
      </w:tblGrid>
      <w:tr w:rsidR="00E87BC9" w:rsidRPr="00E87BC9" w:rsidTr="005B7DD7">
        <w:trPr>
          <w:jc w:val="center"/>
        </w:trPr>
        <w:tc>
          <w:tcPr>
            <w:tcW w:w="876" w:type="dxa"/>
          </w:tcPr>
          <w:p w:rsidR="00E87BC9" w:rsidRPr="00E87BC9" w:rsidRDefault="00E87BC9" w:rsidP="00E87BC9">
            <w:pPr>
              <w:pStyle w:val="Tablelist"/>
              <w:jc w:val="center"/>
              <w:rPr>
                <w:b/>
              </w:rPr>
            </w:pPr>
            <w:r w:rsidRPr="00E87BC9">
              <w:rPr>
                <w:b/>
              </w:rPr>
              <w:t>Fund Group</w:t>
            </w:r>
          </w:p>
        </w:tc>
        <w:tc>
          <w:tcPr>
            <w:tcW w:w="3119" w:type="dxa"/>
          </w:tcPr>
          <w:p w:rsidR="00E87BC9" w:rsidRPr="00E87BC9" w:rsidRDefault="00E87BC9" w:rsidP="00E87BC9">
            <w:pPr>
              <w:pStyle w:val="Tablelist"/>
              <w:jc w:val="center"/>
              <w:rPr>
                <w:b/>
              </w:rPr>
            </w:pPr>
            <w:r w:rsidRPr="00E87BC9">
              <w:rPr>
                <w:b/>
              </w:rPr>
              <w:t>Description</w:t>
            </w:r>
          </w:p>
        </w:tc>
        <w:tc>
          <w:tcPr>
            <w:tcW w:w="1476" w:type="dxa"/>
          </w:tcPr>
          <w:p w:rsidR="00E87BC9" w:rsidRPr="00E87BC9" w:rsidRDefault="00E87BC9" w:rsidP="00E87BC9">
            <w:pPr>
              <w:pStyle w:val="Tablelist"/>
              <w:jc w:val="center"/>
              <w:rPr>
                <w:b/>
              </w:rPr>
            </w:pPr>
            <w:r>
              <w:rPr>
                <w:b/>
              </w:rPr>
              <w:t xml:space="preserve">Substation &amp; </w:t>
            </w:r>
            <w:r w:rsidRPr="00E87BC9">
              <w:rPr>
                <w:b/>
              </w:rPr>
              <w:t>Line Projects</w:t>
            </w:r>
          </w:p>
        </w:tc>
        <w:tc>
          <w:tcPr>
            <w:tcW w:w="1331" w:type="dxa"/>
          </w:tcPr>
          <w:p w:rsidR="00E87BC9" w:rsidRPr="00E87BC9" w:rsidRDefault="00E87BC9" w:rsidP="00E87BC9">
            <w:pPr>
              <w:pStyle w:val="Tablelist"/>
              <w:jc w:val="center"/>
              <w:rPr>
                <w:b/>
              </w:rPr>
            </w:pPr>
            <w:r w:rsidRPr="00E87BC9">
              <w:rPr>
                <w:b/>
              </w:rPr>
              <w:t>Voltage Control Projects</w:t>
            </w:r>
          </w:p>
        </w:tc>
        <w:tc>
          <w:tcPr>
            <w:tcW w:w="966" w:type="dxa"/>
          </w:tcPr>
          <w:p w:rsidR="00E87BC9" w:rsidRPr="00E87BC9" w:rsidRDefault="00E87BC9" w:rsidP="00E87BC9">
            <w:pPr>
              <w:pStyle w:val="Tablelist"/>
              <w:jc w:val="center"/>
              <w:rPr>
                <w:b/>
              </w:rPr>
            </w:pPr>
            <w:r w:rsidRPr="00E87BC9">
              <w:rPr>
                <w:b/>
              </w:rPr>
              <w:t>Million USD</w:t>
            </w:r>
          </w:p>
        </w:tc>
        <w:tc>
          <w:tcPr>
            <w:tcW w:w="872" w:type="dxa"/>
          </w:tcPr>
          <w:p w:rsidR="00E87BC9" w:rsidRPr="00E87BC9" w:rsidRDefault="00E87BC9" w:rsidP="00E87BC9">
            <w:pPr>
              <w:pStyle w:val="Tablelist"/>
              <w:jc w:val="center"/>
              <w:rPr>
                <w:b/>
              </w:rPr>
            </w:pPr>
            <w:proofErr w:type="spellStart"/>
            <w:r w:rsidRPr="00E87BC9">
              <w:rPr>
                <w:b/>
              </w:rPr>
              <w:t>Bn</w:t>
            </w:r>
            <w:proofErr w:type="spellEnd"/>
            <w:r w:rsidRPr="00E87BC9">
              <w:rPr>
                <w:b/>
              </w:rPr>
              <w:t xml:space="preserve"> Naira</w:t>
            </w:r>
          </w:p>
        </w:tc>
      </w:tr>
      <w:tr w:rsidR="00E87BC9" w:rsidRPr="00E87BC9" w:rsidTr="005B7DD7">
        <w:trPr>
          <w:jc w:val="center"/>
        </w:trPr>
        <w:tc>
          <w:tcPr>
            <w:tcW w:w="876" w:type="dxa"/>
          </w:tcPr>
          <w:p w:rsidR="00E87BC9" w:rsidRPr="00E87BC9" w:rsidRDefault="00E87BC9" w:rsidP="00E87BC9">
            <w:pPr>
              <w:pStyle w:val="Tablelist"/>
              <w:jc w:val="center"/>
            </w:pPr>
            <w:r w:rsidRPr="00E87BC9">
              <w:t>1</w:t>
            </w:r>
          </w:p>
        </w:tc>
        <w:tc>
          <w:tcPr>
            <w:tcW w:w="3119" w:type="dxa"/>
          </w:tcPr>
          <w:p w:rsidR="00E87BC9" w:rsidRPr="00E87BC9" w:rsidRDefault="00E87BC9" w:rsidP="005B7DD7">
            <w:pPr>
              <w:pStyle w:val="Tablelist"/>
            </w:pPr>
            <w:proofErr w:type="spellStart"/>
            <w:r w:rsidRPr="00E87BC9">
              <w:t>Kainji-Birnin</w:t>
            </w:r>
            <w:proofErr w:type="spellEnd"/>
            <w:r w:rsidRPr="00E87BC9">
              <w:t xml:space="preserve"> </w:t>
            </w:r>
            <w:proofErr w:type="spellStart"/>
            <w:r w:rsidRPr="00E87BC9">
              <w:t>Kebbi-Gusau</w:t>
            </w:r>
            <w:proofErr w:type="spellEnd"/>
            <w:r w:rsidRPr="00E87BC9">
              <w:t xml:space="preserve"> </w:t>
            </w:r>
          </w:p>
        </w:tc>
        <w:tc>
          <w:tcPr>
            <w:tcW w:w="1476" w:type="dxa"/>
          </w:tcPr>
          <w:p w:rsidR="00E87BC9" w:rsidRPr="00E87BC9" w:rsidRDefault="00E87BC9" w:rsidP="00E87BC9">
            <w:pPr>
              <w:pStyle w:val="Tablelist"/>
              <w:jc w:val="center"/>
            </w:pPr>
            <w:r w:rsidRPr="00E87BC9">
              <w:t>11</w:t>
            </w:r>
          </w:p>
        </w:tc>
        <w:tc>
          <w:tcPr>
            <w:tcW w:w="1331" w:type="dxa"/>
          </w:tcPr>
          <w:p w:rsidR="00E87BC9" w:rsidRPr="00E87BC9" w:rsidRDefault="00E87BC9" w:rsidP="00E87BC9">
            <w:pPr>
              <w:pStyle w:val="Tablelist"/>
              <w:jc w:val="center"/>
            </w:pPr>
            <w:r w:rsidRPr="00E87BC9">
              <w:t>13</w:t>
            </w:r>
          </w:p>
        </w:tc>
        <w:tc>
          <w:tcPr>
            <w:tcW w:w="966" w:type="dxa"/>
          </w:tcPr>
          <w:p w:rsidR="00E87BC9" w:rsidRPr="00E87BC9" w:rsidRDefault="00E87BC9" w:rsidP="00E87BC9">
            <w:pPr>
              <w:pStyle w:val="Tablelist"/>
              <w:jc w:val="center"/>
            </w:pPr>
            <w:r w:rsidRPr="00E87BC9">
              <w:t>438</w:t>
            </w:r>
          </w:p>
        </w:tc>
        <w:tc>
          <w:tcPr>
            <w:tcW w:w="872" w:type="dxa"/>
          </w:tcPr>
          <w:p w:rsidR="00E87BC9" w:rsidRPr="00E87BC9" w:rsidRDefault="00E87BC9" w:rsidP="00E87BC9">
            <w:pPr>
              <w:pStyle w:val="Tablelist"/>
              <w:jc w:val="center"/>
            </w:pPr>
            <w:r w:rsidRPr="00E87BC9">
              <w:t>70</w:t>
            </w:r>
          </w:p>
        </w:tc>
      </w:tr>
      <w:tr w:rsidR="00E87BC9" w:rsidRPr="00E87BC9" w:rsidTr="005B7DD7">
        <w:trPr>
          <w:jc w:val="center"/>
        </w:trPr>
        <w:tc>
          <w:tcPr>
            <w:tcW w:w="876" w:type="dxa"/>
          </w:tcPr>
          <w:p w:rsidR="00E87BC9" w:rsidRPr="00E87BC9" w:rsidRDefault="00E87BC9" w:rsidP="00E87BC9">
            <w:pPr>
              <w:pStyle w:val="Tablelist"/>
              <w:jc w:val="center"/>
            </w:pPr>
            <w:r w:rsidRPr="00E87BC9">
              <w:t>2</w:t>
            </w:r>
          </w:p>
        </w:tc>
        <w:tc>
          <w:tcPr>
            <w:tcW w:w="3119" w:type="dxa"/>
          </w:tcPr>
          <w:p w:rsidR="00E87BC9" w:rsidRPr="00E87BC9" w:rsidRDefault="00E87BC9" w:rsidP="005B7DD7">
            <w:pPr>
              <w:pStyle w:val="Tablelist"/>
            </w:pPr>
            <w:r w:rsidRPr="00E87BC9">
              <w:t xml:space="preserve">Lagos </w:t>
            </w:r>
          </w:p>
        </w:tc>
        <w:tc>
          <w:tcPr>
            <w:tcW w:w="1476" w:type="dxa"/>
          </w:tcPr>
          <w:p w:rsidR="00E87BC9" w:rsidRPr="00E87BC9" w:rsidRDefault="00E87BC9" w:rsidP="00E87BC9">
            <w:pPr>
              <w:pStyle w:val="Tablelist"/>
              <w:jc w:val="center"/>
            </w:pPr>
            <w:r w:rsidRPr="00E87BC9">
              <w:t>25</w:t>
            </w:r>
          </w:p>
        </w:tc>
        <w:tc>
          <w:tcPr>
            <w:tcW w:w="1331" w:type="dxa"/>
          </w:tcPr>
          <w:p w:rsidR="00E87BC9" w:rsidRPr="00E87BC9" w:rsidRDefault="00E87BC9" w:rsidP="00E87BC9">
            <w:pPr>
              <w:pStyle w:val="Tablelist"/>
              <w:jc w:val="center"/>
            </w:pPr>
            <w:r w:rsidRPr="00E87BC9">
              <w:t>21</w:t>
            </w:r>
          </w:p>
        </w:tc>
        <w:tc>
          <w:tcPr>
            <w:tcW w:w="966" w:type="dxa"/>
          </w:tcPr>
          <w:p w:rsidR="00E87BC9" w:rsidRPr="00E87BC9" w:rsidRDefault="00E87BC9" w:rsidP="00E87BC9">
            <w:pPr>
              <w:pStyle w:val="Tablelist"/>
              <w:jc w:val="center"/>
            </w:pPr>
            <w:r w:rsidRPr="00E87BC9">
              <w:t>548</w:t>
            </w:r>
          </w:p>
        </w:tc>
        <w:tc>
          <w:tcPr>
            <w:tcW w:w="872" w:type="dxa"/>
          </w:tcPr>
          <w:p w:rsidR="00E87BC9" w:rsidRPr="00E87BC9" w:rsidRDefault="00E87BC9" w:rsidP="00E87BC9">
            <w:pPr>
              <w:pStyle w:val="Tablelist"/>
              <w:jc w:val="center"/>
            </w:pPr>
            <w:r w:rsidRPr="00E87BC9">
              <w:t>88</w:t>
            </w:r>
          </w:p>
        </w:tc>
      </w:tr>
      <w:tr w:rsidR="00E87BC9" w:rsidRPr="00E87BC9" w:rsidTr="005B7DD7">
        <w:trPr>
          <w:jc w:val="center"/>
        </w:trPr>
        <w:tc>
          <w:tcPr>
            <w:tcW w:w="876" w:type="dxa"/>
          </w:tcPr>
          <w:p w:rsidR="00E87BC9" w:rsidRPr="00E87BC9" w:rsidRDefault="00E87BC9" w:rsidP="00E87BC9">
            <w:pPr>
              <w:pStyle w:val="Tablelist"/>
              <w:jc w:val="center"/>
            </w:pPr>
            <w:r w:rsidRPr="00E87BC9">
              <w:t>3</w:t>
            </w:r>
          </w:p>
        </w:tc>
        <w:tc>
          <w:tcPr>
            <w:tcW w:w="3119" w:type="dxa"/>
          </w:tcPr>
          <w:p w:rsidR="00E87BC9" w:rsidRPr="00E87BC9" w:rsidRDefault="00E87BC9" w:rsidP="005B7DD7">
            <w:pPr>
              <w:pStyle w:val="Tablelist"/>
            </w:pPr>
            <w:proofErr w:type="spellStart"/>
            <w:r w:rsidRPr="00E87BC9">
              <w:t>Jos</w:t>
            </w:r>
            <w:proofErr w:type="spellEnd"/>
            <w:r w:rsidRPr="00E87BC9">
              <w:t xml:space="preserve"> – </w:t>
            </w:r>
            <w:proofErr w:type="spellStart"/>
            <w:r w:rsidRPr="00E87BC9">
              <w:t>Gombe</w:t>
            </w:r>
            <w:proofErr w:type="spellEnd"/>
            <w:r w:rsidRPr="00E87BC9">
              <w:t xml:space="preserve"> – </w:t>
            </w:r>
            <w:proofErr w:type="spellStart"/>
            <w:r w:rsidRPr="00E87BC9">
              <w:t>Damaturu</w:t>
            </w:r>
            <w:proofErr w:type="spellEnd"/>
            <w:r w:rsidRPr="00E87BC9">
              <w:t xml:space="preserve"> </w:t>
            </w:r>
          </w:p>
        </w:tc>
        <w:tc>
          <w:tcPr>
            <w:tcW w:w="1476" w:type="dxa"/>
          </w:tcPr>
          <w:p w:rsidR="00E87BC9" w:rsidRPr="00E87BC9" w:rsidRDefault="00E87BC9" w:rsidP="00E87BC9">
            <w:pPr>
              <w:pStyle w:val="Tablelist"/>
              <w:jc w:val="center"/>
            </w:pPr>
            <w:r w:rsidRPr="00E87BC9">
              <w:t>4</w:t>
            </w:r>
          </w:p>
        </w:tc>
        <w:tc>
          <w:tcPr>
            <w:tcW w:w="1331" w:type="dxa"/>
          </w:tcPr>
          <w:p w:rsidR="00E87BC9" w:rsidRPr="00E87BC9" w:rsidRDefault="00E87BC9" w:rsidP="00E87BC9">
            <w:pPr>
              <w:pStyle w:val="Tablelist"/>
              <w:jc w:val="center"/>
            </w:pPr>
            <w:r w:rsidRPr="00E87BC9">
              <w:t>8</w:t>
            </w:r>
          </w:p>
        </w:tc>
        <w:tc>
          <w:tcPr>
            <w:tcW w:w="966" w:type="dxa"/>
          </w:tcPr>
          <w:p w:rsidR="00E87BC9" w:rsidRPr="00E87BC9" w:rsidRDefault="00E87BC9" w:rsidP="00E87BC9">
            <w:pPr>
              <w:pStyle w:val="Tablelist"/>
              <w:jc w:val="center"/>
            </w:pPr>
            <w:r w:rsidRPr="00E87BC9">
              <w:t>246</w:t>
            </w:r>
          </w:p>
        </w:tc>
        <w:tc>
          <w:tcPr>
            <w:tcW w:w="872" w:type="dxa"/>
          </w:tcPr>
          <w:p w:rsidR="00E87BC9" w:rsidRPr="00E87BC9" w:rsidRDefault="00E87BC9" w:rsidP="00E87BC9">
            <w:pPr>
              <w:pStyle w:val="Tablelist"/>
              <w:jc w:val="center"/>
            </w:pPr>
            <w:r w:rsidRPr="00E87BC9">
              <w:t>39</w:t>
            </w:r>
          </w:p>
        </w:tc>
      </w:tr>
      <w:tr w:rsidR="00E87BC9" w:rsidRPr="00E87BC9" w:rsidTr="005B7DD7">
        <w:trPr>
          <w:jc w:val="center"/>
        </w:trPr>
        <w:tc>
          <w:tcPr>
            <w:tcW w:w="876" w:type="dxa"/>
          </w:tcPr>
          <w:p w:rsidR="00E87BC9" w:rsidRPr="00E87BC9" w:rsidRDefault="00E87BC9" w:rsidP="00E87BC9">
            <w:pPr>
              <w:pStyle w:val="Tablelist"/>
              <w:jc w:val="center"/>
            </w:pPr>
            <w:r w:rsidRPr="00E87BC9">
              <w:t>4</w:t>
            </w:r>
          </w:p>
        </w:tc>
        <w:tc>
          <w:tcPr>
            <w:tcW w:w="3119" w:type="dxa"/>
          </w:tcPr>
          <w:p w:rsidR="00E87BC9" w:rsidRPr="00E87BC9" w:rsidRDefault="00E87BC9" w:rsidP="005B7DD7">
            <w:pPr>
              <w:pStyle w:val="Tablelist"/>
            </w:pPr>
            <w:proofErr w:type="spellStart"/>
            <w:r w:rsidRPr="00E87BC9">
              <w:t>Awka</w:t>
            </w:r>
            <w:proofErr w:type="spellEnd"/>
            <w:r w:rsidRPr="00E87BC9">
              <w:t xml:space="preserve"> – </w:t>
            </w:r>
            <w:proofErr w:type="spellStart"/>
            <w:r w:rsidRPr="00E87BC9">
              <w:t>Ugwuaji</w:t>
            </w:r>
            <w:proofErr w:type="spellEnd"/>
            <w:r w:rsidRPr="00E87BC9">
              <w:t xml:space="preserve"> – </w:t>
            </w:r>
            <w:proofErr w:type="spellStart"/>
            <w:r w:rsidRPr="00E87BC9">
              <w:t>Jos</w:t>
            </w:r>
            <w:proofErr w:type="spellEnd"/>
            <w:r w:rsidRPr="00E87BC9">
              <w:t xml:space="preserve"> </w:t>
            </w:r>
          </w:p>
        </w:tc>
        <w:tc>
          <w:tcPr>
            <w:tcW w:w="1476" w:type="dxa"/>
          </w:tcPr>
          <w:p w:rsidR="00E87BC9" w:rsidRPr="00E87BC9" w:rsidRDefault="00E87BC9" w:rsidP="00E87BC9">
            <w:pPr>
              <w:pStyle w:val="Tablelist"/>
              <w:jc w:val="center"/>
            </w:pPr>
            <w:r w:rsidRPr="00E87BC9">
              <w:t>16</w:t>
            </w:r>
          </w:p>
        </w:tc>
        <w:tc>
          <w:tcPr>
            <w:tcW w:w="1331" w:type="dxa"/>
          </w:tcPr>
          <w:p w:rsidR="00E87BC9" w:rsidRPr="00E87BC9" w:rsidRDefault="00E87BC9" w:rsidP="00E87BC9">
            <w:pPr>
              <w:pStyle w:val="Tablelist"/>
              <w:jc w:val="center"/>
            </w:pPr>
            <w:r w:rsidRPr="00E87BC9">
              <w:t>13</w:t>
            </w:r>
          </w:p>
        </w:tc>
        <w:tc>
          <w:tcPr>
            <w:tcW w:w="966" w:type="dxa"/>
          </w:tcPr>
          <w:p w:rsidR="00E87BC9" w:rsidRPr="00E87BC9" w:rsidRDefault="00E87BC9" w:rsidP="00E87BC9">
            <w:pPr>
              <w:pStyle w:val="Tablelist"/>
              <w:jc w:val="center"/>
            </w:pPr>
            <w:r w:rsidRPr="00E87BC9">
              <w:t>617</w:t>
            </w:r>
          </w:p>
        </w:tc>
        <w:tc>
          <w:tcPr>
            <w:tcW w:w="872" w:type="dxa"/>
          </w:tcPr>
          <w:p w:rsidR="00E87BC9" w:rsidRPr="00E87BC9" w:rsidRDefault="00E87BC9" w:rsidP="00E87BC9">
            <w:pPr>
              <w:pStyle w:val="Tablelist"/>
              <w:jc w:val="center"/>
            </w:pPr>
            <w:r w:rsidRPr="00E87BC9">
              <w:t>99</w:t>
            </w:r>
          </w:p>
        </w:tc>
      </w:tr>
      <w:tr w:rsidR="00E87BC9" w:rsidRPr="00E87BC9" w:rsidTr="005B7DD7">
        <w:trPr>
          <w:jc w:val="center"/>
        </w:trPr>
        <w:tc>
          <w:tcPr>
            <w:tcW w:w="876" w:type="dxa"/>
          </w:tcPr>
          <w:p w:rsidR="00E87BC9" w:rsidRPr="00E87BC9" w:rsidRDefault="00E87BC9" w:rsidP="00E87BC9">
            <w:pPr>
              <w:pStyle w:val="Tablelist"/>
              <w:jc w:val="center"/>
            </w:pPr>
            <w:r w:rsidRPr="00E87BC9">
              <w:t>5</w:t>
            </w:r>
          </w:p>
        </w:tc>
        <w:tc>
          <w:tcPr>
            <w:tcW w:w="3119" w:type="dxa"/>
          </w:tcPr>
          <w:p w:rsidR="00E87BC9" w:rsidRPr="00E87BC9" w:rsidRDefault="00E87BC9" w:rsidP="005B7DD7">
            <w:pPr>
              <w:pStyle w:val="Tablelist"/>
            </w:pPr>
            <w:r w:rsidRPr="00E87BC9">
              <w:t xml:space="preserve">Benin – </w:t>
            </w:r>
            <w:proofErr w:type="spellStart"/>
            <w:r w:rsidRPr="00E87BC9">
              <w:t>Katampe</w:t>
            </w:r>
            <w:proofErr w:type="spellEnd"/>
            <w:r w:rsidRPr="00E87BC9">
              <w:t xml:space="preserve"> </w:t>
            </w:r>
          </w:p>
        </w:tc>
        <w:tc>
          <w:tcPr>
            <w:tcW w:w="1476" w:type="dxa"/>
          </w:tcPr>
          <w:p w:rsidR="00E87BC9" w:rsidRPr="00E87BC9" w:rsidRDefault="00E87BC9" w:rsidP="00E87BC9">
            <w:pPr>
              <w:pStyle w:val="Tablelist"/>
              <w:jc w:val="center"/>
            </w:pPr>
            <w:r w:rsidRPr="00E87BC9">
              <w:t>5</w:t>
            </w:r>
          </w:p>
        </w:tc>
        <w:tc>
          <w:tcPr>
            <w:tcW w:w="1331" w:type="dxa"/>
          </w:tcPr>
          <w:p w:rsidR="00E87BC9" w:rsidRPr="00E87BC9" w:rsidRDefault="00E87BC9" w:rsidP="00E87BC9">
            <w:pPr>
              <w:pStyle w:val="Tablelist"/>
              <w:jc w:val="center"/>
            </w:pPr>
            <w:r w:rsidRPr="00E87BC9">
              <w:t>16</w:t>
            </w:r>
          </w:p>
        </w:tc>
        <w:tc>
          <w:tcPr>
            <w:tcW w:w="966" w:type="dxa"/>
          </w:tcPr>
          <w:p w:rsidR="00E87BC9" w:rsidRPr="00E87BC9" w:rsidRDefault="00E87BC9" w:rsidP="00E87BC9">
            <w:pPr>
              <w:pStyle w:val="Tablelist"/>
              <w:jc w:val="center"/>
            </w:pPr>
            <w:r w:rsidRPr="00E87BC9">
              <w:t>385</w:t>
            </w:r>
          </w:p>
        </w:tc>
        <w:tc>
          <w:tcPr>
            <w:tcW w:w="872" w:type="dxa"/>
          </w:tcPr>
          <w:p w:rsidR="00E87BC9" w:rsidRPr="00E87BC9" w:rsidRDefault="00E87BC9" w:rsidP="00E87BC9">
            <w:pPr>
              <w:pStyle w:val="Tablelist"/>
              <w:jc w:val="center"/>
            </w:pPr>
            <w:r w:rsidRPr="00E87BC9">
              <w:t>62</w:t>
            </w:r>
          </w:p>
        </w:tc>
      </w:tr>
      <w:tr w:rsidR="00E87BC9" w:rsidRPr="00E87BC9" w:rsidTr="005B7DD7">
        <w:trPr>
          <w:jc w:val="center"/>
        </w:trPr>
        <w:tc>
          <w:tcPr>
            <w:tcW w:w="876" w:type="dxa"/>
          </w:tcPr>
          <w:p w:rsidR="00E87BC9" w:rsidRPr="00E87BC9" w:rsidRDefault="00E87BC9" w:rsidP="00E87BC9">
            <w:pPr>
              <w:pStyle w:val="Tablelist"/>
              <w:jc w:val="center"/>
              <w:rPr>
                <w:b/>
              </w:rPr>
            </w:pPr>
          </w:p>
        </w:tc>
        <w:tc>
          <w:tcPr>
            <w:tcW w:w="3119" w:type="dxa"/>
          </w:tcPr>
          <w:p w:rsidR="00E87BC9" w:rsidRPr="00E87BC9" w:rsidRDefault="00E87BC9" w:rsidP="005B7DD7">
            <w:pPr>
              <w:pStyle w:val="Tablelist"/>
              <w:rPr>
                <w:b/>
              </w:rPr>
            </w:pPr>
            <w:r w:rsidRPr="00E87BC9">
              <w:rPr>
                <w:b/>
              </w:rPr>
              <w:t xml:space="preserve">Totals </w:t>
            </w:r>
          </w:p>
        </w:tc>
        <w:tc>
          <w:tcPr>
            <w:tcW w:w="1476" w:type="dxa"/>
          </w:tcPr>
          <w:p w:rsidR="00E87BC9" w:rsidRPr="00E87BC9" w:rsidRDefault="00E87BC9" w:rsidP="00E87BC9">
            <w:pPr>
              <w:pStyle w:val="Tablelist"/>
              <w:jc w:val="center"/>
              <w:rPr>
                <w:b/>
              </w:rPr>
            </w:pPr>
          </w:p>
        </w:tc>
        <w:tc>
          <w:tcPr>
            <w:tcW w:w="1331" w:type="dxa"/>
          </w:tcPr>
          <w:p w:rsidR="00E87BC9" w:rsidRPr="00E87BC9" w:rsidRDefault="00E87BC9" w:rsidP="00E87BC9">
            <w:pPr>
              <w:pStyle w:val="Tablelist"/>
              <w:jc w:val="center"/>
              <w:rPr>
                <w:b/>
              </w:rPr>
            </w:pPr>
          </w:p>
        </w:tc>
        <w:tc>
          <w:tcPr>
            <w:tcW w:w="966" w:type="dxa"/>
          </w:tcPr>
          <w:p w:rsidR="00E87BC9" w:rsidRPr="00E87BC9" w:rsidRDefault="00E87BC9" w:rsidP="00E87BC9">
            <w:pPr>
              <w:pStyle w:val="Tablelist"/>
              <w:jc w:val="center"/>
              <w:rPr>
                <w:b/>
              </w:rPr>
            </w:pPr>
            <w:r w:rsidRPr="00E87BC9">
              <w:rPr>
                <w:b/>
              </w:rPr>
              <w:t>2,235</w:t>
            </w:r>
          </w:p>
        </w:tc>
        <w:tc>
          <w:tcPr>
            <w:tcW w:w="872" w:type="dxa"/>
          </w:tcPr>
          <w:p w:rsidR="00E87BC9" w:rsidRPr="00E87BC9" w:rsidRDefault="00E87BC9" w:rsidP="00E87BC9">
            <w:pPr>
              <w:pStyle w:val="Tablelist"/>
              <w:jc w:val="center"/>
              <w:rPr>
                <w:b/>
              </w:rPr>
            </w:pPr>
            <w:r w:rsidRPr="00E87BC9">
              <w:rPr>
                <w:b/>
              </w:rPr>
              <w:t>358</w:t>
            </w:r>
          </w:p>
        </w:tc>
      </w:tr>
    </w:tbl>
    <w:p w:rsidR="00E87BC9" w:rsidRDefault="00E87BC9" w:rsidP="00215216"/>
    <w:p w:rsidR="00683D4F" w:rsidRPr="00683D4F" w:rsidRDefault="00215216" w:rsidP="00215216">
      <w:pPr>
        <w:pStyle w:val="Heading1"/>
      </w:pPr>
      <w:bookmarkStart w:id="28" w:name="_Toc382658229"/>
      <w:r>
        <w:lastRenderedPageBreak/>
        <w:t>Investment Framework</w:t>
      </w:r>
      <w:bookmarkEnd w:id="28"/>
    </w:p>
    <w:p w:rsidR="00EE4F3D" w:rsidRDefault="00EE4F3D" w:rsidP="00215216">
      <w:r>
        <w:t xml:space="preserve">Investors are invited to participate in </w:t>
      </w:r>
      <w:r w:rsidR="005B3B46">
        <w:t>f</w:t>
      </w:r>
      <w:r>
        <w:t xml:space="preserve">inancing </w:t>
      </w:r>
      <w:r w:rsidR="005B3B46">
        <w:t>p</w:t>
      </w:r>
      <w:r>
        <w:t xml:space="preserve">ackages that </w:t>
      </w:r>
      <w:r w:rsidRPr="006E019D">
        <w:t xml:space="preserve">best fit </w:t>
      </w:r>
      <w:r>
        <w:t>their</w:t>
      </w:r>
      <w:r w:rsidRPr="006E019D">
        <w:t xml:space="preserve"> particular funding preferences and requirements.</w:t>
      </w:r>
      <w:r>
        <w:t xml:space="preserve">  TCN intends to work with interested investors to form a consortium</w:t>
      </w:r>
      <w:r w:rsidRPr="00DD77B5">
        <w:t xml:space="preserve"> </w:t>
      </w:r>
      <w:r>
        <w:t xml:space="preserve">for each </w:t>
      </w:r>
      <w:r w:rsidR="005B3B46">
        <w:t>f</w:t>
      </w:r>
      <w:r>
        <w:t xml:space="preserve">inancing </w:t>
      </w:r>
      <w:r w:rsidR="005B3B46">
        <w:t>p</w:t>
      </w:r>
      <w:r>
        <w:t xml:space="preserve">ackage.  </w:t>
      </w:r>
      <w:r w:rsidR="005B3B46">
        <w:t>F</w:t>
      </w:r>
      <w:r w:rsidR="00566314">
        <w:t xml:space="preserve">unds invested </w:t>
      </w:r>
      <w:r w:rsidR="005B3B46">
        <w:t xml:space="preserve">in a package </w:t>
      </w:r>
      <w:r>
        <w:t>will be pooled</w:t>
      </w:r>
      <w:r w:rsidR="005B3B46">
        <w:t xml:space="preserve">.  </w:t>
      </w:r>
      <w:r w:rsidR="00566314">
        <w:t xml:space="preserve">It is envisioned that each investor consortium will have an executive oversight function.  </w:t>
      </w:r>
      <w:r>
        <w:t xml:space="preserve">TCN intends to comply with any requirements imposed by investor consortia for project implementation such as program design, monitoring, </w:t>
      </w:r>
      <w:proofErr w:type="gramStart"/>
      <w:r>
        <w:t>controls</w:t>
      </w:r>
      <w:proofErr w:type="gramEnd"/>
      <w:r>
        <w:t xml:space="preserve"> and reporting.</w:t>
      </w:r>
      <w:r w:rsidR="00505782">
        <w:t xml:space="preserve">  </w:t>
      </w:r>
      <w:r w:rsidR="00C31506">
        <w:t>The following sections provide a general framework for oversight and management of the investment funds.</w:t>
      </w:r>
    </w:p>
    <w:p w:rsidR="005B7DD7" w:rsidRDefault="005B7DD7" w:rsidP="005B7DD7">
      <w:pPr>
        <w:pStyle w:val="Heading2"/>
      </w:pPr>
      <w:bookmarkStart w:id="29" w:name="_Toc382658230"/>
      <w:r>
        <w:t>Investment Fund</w:t>
      </w:r>
      <w:r w:rsidR="00C31506" w:rsidRPr="00C31506">
        <w:t xml:space="preserve"> </w:t>
      </w:r>
      <w:r w:rsidR="00C31506">
        <w:t>Structure</w:t>
      </w:r>
      <w:bookmarkEnd w:id="29"/>
    </w:p>
    <w:p w:rsidR="005B7DD7" w:rsidRDefault="005B7DD7" w:rsidP="00215216">
      <w:r>
        <w:t xml:space="preserve">TCN has developed the following </w:t>
      </w:r>
      <w:r w:rsidR="00B50FCF">
        <w:t xml:space="preserve">basic </w:t>
      </w:r>
      <w:r>
        <w:t xml:space="preserve">structure </w:t>
      </w:r>
      <w:r w:rsidR="00C31506">
        <w:t xml:space="preserve">to be used </w:t>
      </w:r>
      <w:r>
        <w:t xml:space="preserve">for the investment funds: </w:t>
      </w:r>
    </w:p>
    <w:p w:rsidR="005B7DD7" w:rsidRDefault="005B7DD7" w:rsidP="00B50FCF">
      <w:pPr>
        <w:pStyle w:val="bullet"/>
      </w:pPr>
      <w:r>
        <w:t>Sets of projects will be grouped into “financing packages.”</w:t>
      </w:r>
    </w:p>
    <w:p w:rsidR="005B7DD7" w:rsidRDefault="005B7DD7" w:rsidP="00B50FCF">
      <w:pPr>
        <w:pStyle w:val="bullet"/>
      </w:pPr>
      <w:r>
        <w:t>Investors will form a consortium for each package.</w:t>
      </w:r>
    </w:p>
    <w:p w:rsidR="005B7DD7" w:rsidRDefault="005B7DD7" w:rsidP="00B50FCF">
      <w:pPr>
        <w:pStyle w:val="bullet"/>
      </w:pPr>
      <w:r>
        <w:t>Funds invested in a package will be pooled.</w:t>
      </w:r>
    </w:p>
    <w:p w:rsidR="005B7DD7" w:rsidRDefault="005B7DD7" w:rsidP="00B50FCF">
      <w:pPr>
        <w:pStyle w:val="bullet"/>
      </w:pPr>
      <w:r>
        <w:t>Each consortium will have an oversight function.</w:t>
      </w:r>
    </w:p>
    <w:p w:rsidR="005B7DD7" w:rsidRDefault="005B7DD7" w:rsidP="00B50FCF">
      <w:pPr>
        <w:pStyle w:val="bullet"/>
      </w:pPr>
      <w:r>
        <w:t>TSP will set up Project Implementation Unit(s).</w:t>
      </w:r>
    </w:p>
    <w:p w:rsidR="005B7DD7" w:rsidRDefault="005B7DD7" w:rsidP="00B50FCF">
      <w:pPr>
        <w:pStyle w:val="bullet"/>
      </w:pPr>
      <w:r>
        <w:t xml:space="preserve">Each package (or multiple packages) will be managed by a single Owner’s Engineer reporting to </w:t>
      </w:r>
      <w:r w:rsidR="00C31506">
        <w:t xml:space="preserve">the </w:t>
      </w:r>
      <w:r>
        <w:t>PIU.</w:t>
      </w:r>
    </w:p>
    <w:p w:rsidR="005B7DD7" w:rsidRDefault="005B7DD7" w:rsidP="00B50FCF">
      <w:pPr>
        <w:pStyle w:val="bullet"/>
      </w:pPr>
      <w:r>
        <w:t>Universally accepted procurement guidelines will be used.</w:t>
      </w:r>
    </w:p>
    <w:p w:rsidR="005B7DD7" w:rsidRDefault="005B7DD7" w:rsidP="00B50FCF">
      <w:pPr>
        <w:pStyle w:val="bullet"/>
      </w:pPr>
      <w:r>
        <w:t xml:space="preserve">FGN will be involved for approvals, guarantees, oversight, waivers etc. </w:t>
      </w:r>
    </w:p>
    <w:p w:rsidR="005B7DD7" w:rsidRDefault="005B7DD7" w:rsidP="00B50FCF">
      <w:pPr>
        <w:pStyle w:val="outofbullet2"/>
      </w:pPr>
      <w:r>
        <w:t>TCN Board will approve investment plans.</w:t>
      </w:r>
    </w:p>
    <w:p w:rsidR="005B7DD7" w:rsidRDefault="00B50FCF" w:rsidP="00215216">
      <w:r>
        <w:t>The foregoing structure i</w:t>
      </w:r>
      <w:r w:rsidR="00C31506">
        <w:t>s provided as a basic guideline.  T</w:t>
      </w:r>
      <w:r>
        <w:t>he framework will be refined and revised as needed to meet the needs of investors.</w:t>
      </w:r>
    </w:p>
    <w:p w:rsidR="00B50FCF" w:rsidRDefault="00B50FCF" w:rsidP="00B50FCF">
      <w:pPr>
        <w:pStyle w:val="Heading2"/>
      </w:pPr>
      <w:bookmarkStart w:id="30" w:name="_Toc382658231"/>
      <w:r>
        <w:t>Roles and Responsibilities</w:t>
      </w:r>
      <w:bookmarkEnd w:id="30"/>
    </w:p>
    <w:p w:rsidR="00B50FCF" w:rsidRDefault="00283E70" w:rsidP="00215216">
      <w:r>
        <w:fldChar w:fldCharType="begin"/>
      </w:r>
      <w:r w:rsidR="007D013B">
        <w:instrText xml:space="preserve"> REF _Ref382573411 \h </w:instrText>
      </w:r>
      <w:r>
        <w:fldChar w:fldCharType="separate"/>
      </w:r>
      <w:r w:rsidR="002F19E0">
        <w:t xml:space="preserve">Figure </w:t>
      </w:r>
      <w:r w:rsidR="002F19E0">
        <w:rPr>
          <w:noProof/>
        </w:rPr>
        <w:t>4</w:t>
      </w:r>
      <w:r>
        <w:fldChar w:fldCharType="end"/>
      </w:r>
      <w:r w:rsidR="00B50FCF">
        <w:t xml:space="preserve"> shows a graphical depiction of the roles and responsibilities for the executive management, oversight, administration and execution of the investment funds.</w:t>
      </w:r>
    </w:p>
    <w:p w:rsidR="00B50FCF" w:rsidRDefault="00B50FCF" w:rsidP="00B50FCF">
      <w:pPr>
        <w:keepNext/>
      </w:pPr>
      <w:r w:rsidRPr="00B50FCF">
        <w:rPr>
          <w:noProof/>
          <w:lang w:val="en-US" w:eastAsia="en-US"/>
        </w:rPr>
        <w:lastRenderedPageBreak/>
        <w:drawing>
          <wp:inline distT="0" distB="0" distL="0" distR="0">
            <wp:extent cx="5947410" cy="282702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b="1592"/>
                    <a:stretch>
                      <a:fillRect/>
                    </a:stretch>
                  </pic:blipFill>
                  <pic:spPr bwMode="auto">
                    <a:xfrm>
                      <a:off x="0" y="0"/>
                      <a:ext cx="5947410" cy="2827020"/>
                    </a:xfrm>
                    <a:prstGeom prst="rect">
                      <a:avLst/>
                    </a:prstGeom>
                    <a:noFill/>
                    <a:ln w="9525">
                      <a:noFill/>
                      <a:miter lim="800000"/>
                      <a:headEnd/>
                      <a:tailEnd/>
                    </a:ln>
                  </pic:spPr>
                </pic:pic>
              </a:graphicData>
            </a:graphic>
          </wp:inline>
        </w:drawing>
      </w:r>
    </w:p>
    <w:p w:rsidR="00B50FCF" w:rsidRDefault="00B50FCF" w:rsidP="00B50FCF">
      <w:pPr>
        <w:pStyle w:val="Caption"/>
      </w:pPr>
      <w:bookmarkStart w:id="31" w:name="_Ref382573411"/>
      <w:r>
        <w:t xml:space="preserve">Figure </w:t>
      </w:r>
      <w:fldSimple w:instr=" SEQ Figure \* ARABIC ">
        <w:r w:rsidR="002F19E0">
          <w:rPr>
            <w:noProof/>
          </w:rPr>
          <w:t>4</w:t>
        </w:r>
      </w:fldSimple>
      <w:bookmarkEnd w:id="31"/>
      <w:r>
        <w:t>: Roles and Responsibilities for Investment Funds</w:t>
      </w:r>
    </w:p>
    <w:p w:rsidR="00B50FCF" w:rsidRPr="00B50FCF" w:rsidRDefault="00B50FCF" w:rsidP="002F19E0">
      <w:pPr>
        <w:spacing w:after="120"/>
      </w:pPr>
    </w:p>
    <w:p w:rsidR="00B50FCF" w:rsidRDefault="00B50FCF" w:rsidP="00B50FCF">
      <w:pPr>
        <w:pStyle w:val="Heading2"/>
      </w:pPr>
      <w:bookmarkStart w:id="32" w:name="_Toc382658232"/>
      <w:r>
        <w:t>Duties of Owner’s Engineer</w:t>
      </w:r>
      <w:bookmarkEnd w:id="32"/>
    </w:p>
    <w:p w:rsidR="00B50FCF" w:rsidRDefault="00B50FCF" w:rsidP="00B50FCF">
      <w:r>
        <w:t>TCN intends to engage an Owner’s Engineer for each investment fund or multiple investment funds, similar to the approach used for</w:t>
      </w:r>
      <w:r w:rsidR="002F19E0">
        <w:t xml:space="preserve"> the</w:t>
      </w:r>
      <w:r>
        <w:t xml:space="preserve"> NIPP project</w:t>
      </w:r>
      <w:r w:rsidR="002F19E0">
        <w:t>s</w:t>
      </w:r>
      <w:r>
        <w:t>.  The Owner’s Engineer must bring international qualifications in large-scale infrastructure investment programs.  The Owner’s Engineer will have the following duties:</w:t>
      </w:r>
    </w:p>
    <w:p w:rsidR="00B50FCF" w:rsidRDefault="00B50FCF" w:rsidP="00786AF8">
      <w:pPr>
        <w:pStyle w:val="bullet"/>
      </w:pPr>
      <w:r>
        <w:t>Pre-tender feasibility studies and basic engineering</w:t>
      </w:r>
    </w:p>
    <w:p w:rsidR="00B50FCF" w:rsidRDefault="00B50FCF" w:rsidP="00786AF8">
      <w:pPr>
        <w:pStyle w:val="bullet"/>
      </w:pPr>
      <w:r>
        <w:t>Bidding strategy including bid packaging concept</w:t>
      </w:r>
    </w:p>
    <w:p w:rsidR="00B50FCF" w:rsidRDefault="00B50FCF" w:rsidP="00786AF8">
      <w:pPr>
        <w:pStyle w:val="bullet"/>
      </w:pPr>
      <w:r>
        <w:t>Assessment of contractor qualifications</w:t>
      </w:r>
    </w:p>
    <w:p w:rsidR="00B50FCF" w:rsidRDefault="00B50FCF" w:rsidP="00786AF8">
      <w:pPr>
        <w:pStyle w:val="bullet"/>
      </w:pPr>
      <w:r>
        <w:t>Technical specifications</w:t>
      </w:r>
    </w:p>
    <w:p w:rsidR="00B50FCF" w:rsidRDefault="00B50FCF" w:rsidP="00786AF8">
      <w:pPr>
        <w:pStyle w:val="bullet"/>
      </w:pPr>
      <w:r>
        <w:t>Cost estimates</w:t>
      </w:r>
    </w:p>
    <w:p w:rsidR="00B50FCF" w:rsidRDefault="00B50FCF" w:rsidP="00786AF8">
      <w:pPr>
        <w:pStyle w:val="bullet"/>
      </w:pPr>
      <w:r>
        <w:t>Commercial documents</w:t>
      </w:r>
    </w:p>
    <w:p w:rsidR="00B50FCF" w:rsidRDefault="00B50FCF" w:rsidP="00786AF8">
      <w:pPr>
        <w:pStyle w:val="bullet"/>
      </w:pPr>
      <w:r>
        <w:t>Bid evaluation and contract finalization</w:t>
      </w:r>
    </w:p>
    <w:p w:rsidR="00B50FCF" w:rsidRDefault="00B50FCF" w:rsidP="00786AF8">
      <w:pPr>
        <w:pStyle w:val="bullet"/>
      </w:pPr>
      <w:r>
        <w:t>Engineering reviews</w:t>
      </w:r>
    </w:p>
    <w:p w:rsidR="00B50FCF" w:rsidRDefault="00B50FCF" w:rsidP="00786AF8">
      <w:pPr>
        <w:pStyle w:val="bullet"/>
      </w:pPr>
      <w:r>
        <w:t>Interfaces, integration, project phasing</w:t>
      </w:r>
    </w:p>
    <w:p w:rsidR="00B50FCF" w:rsidRDefault="00B50FCF" w:rsidP="00786AF8">
      <w:pPr>
        <w:pStyle w:val="bullet"/>
      </w:pPr>
      <w:r>
        <w:t>Review of contractors’ specifications and plans</w:t>
      </w:r>
    </w:p>
    <w:p w:rsidR="00B50FCF" w:rsidRDefault="00B50FCF" w:rsidP="00786AF8">
      <w:pPr>
        <w:pStyle w:val="bullet"/>
      </w:pPr>
      <w:r>
        <w:t>Statutory permits and clearances</w:t>
      </w:r>
    </w:p>
    <w:p w:rsidR="00B50FCF" w:rsidRDefault="00B50FCF" w:rsidP="00786AF8">
      <w:pPr>
        <w:pStyle w:val="bullet"/>
      </w:pPr>
      <w:r>
        <w:t>Construction management</w:t>
      </w:r>
    </w:p>
    <w:p w:rsidR="00B50FCF" w:rsidRDefault="00B50FCF" w:rsidP="00786AF8">
      <w:pPr>
        <w:pStyle w:val="bullet"/>
      </w:pPr>
      <w:r>
        <w:t>Commissioning and trouble-shooting</w:t>
      </w:r>
    </w:p>
    <w:p w:rsidR="00B50FCF" w:rsidRDefault="00B50FCF" w:rsidP="00786AF8">
      <w:pPr>
        <w:pStyle w:val="outofbullet2"/>
      </w:pPr>
      <w:r>
        <w:t>Project completion activities</w:t>
      </w:r>
    </w:p>
    <w:p w:rsidR="00B50FCF" w:rsidRDefault="00786AF8" w:rsidP="00786AF8">
      <w:pPr>
        <w:pStyle w:val="Heading2"/>
      </w:pPr>
      <w:bookmarkStart w:id="33" w:name="_Toc382658233"/>
      <w:r>
        <w:lastRenderedPageBreak/>
        <w:t>Contracting Alternatives</w:t>
      </w:r>
      <w:bookmarkEnd w:id="33"/>
    </w:p>
    <w:p w:rsidR="00786AF8" w:rsidRDefault="00786AF8" w:rsidP="00786AF8">
      <w:r>
        <w:t>TCN is open to any of the following forms of contracting, depending on investors</w:t>
      </w:r>
      <w:r w:rsidR="00934EF9">
        <w:t>’</w:t>
      </w:r>
      <w:r>
        <w:t xml:space="preserve"> needs and preferences:</w:t>
      </w:r>
    </w:p>
    <w:p w:rsidR="00786AF8" w:rsidRDefault="00786AF8" w:rsidP="00786AF8">
      <w:pPr>
        <w:pStyle w:val="bullet"/>
      </w:pPr>
      <w:r>
        <w:t>Traditional Engineer Procure Construct (EPC)</w:t>
      </w:r>
    </w:p>
    <w:p w:rsidR="00786AF8" w:rsidRDefault="00786AF8" w:rsidP="00786AF8">
      <w:pPr>
        <w:pStyle w:val="bullet"/>
      </w:pPr>
      <w:r>
        <w:t>Build Own Transfer (BOT)</w:t>
      </w:r>
    </w:p>
    <w:p w:rsidR="00786AF8" w:rsidRDefault="00786AF8" w:rsidP="00786AF8">
      <w:pPr>
        <w:pStyle w:val="bullet"/>
      </w:pPr>
      <w:r>
        <w:t>Build Own Operate (BOO)</w:t>
      </w:r>
    </w:p>
    <w:p w:rsidR="00786AF8" w:rsidRDefault="00786AF8" w:rsidP="00786AF8">
      <w:pPr>
        <w:pStyle w:val="bullet"/>
      </w:pPr>
      <w:r>
        <w:t>Build Own Operate Transfer (BOOT)</w:t>
      </w:r>
    </w:p>
    <w:p w:rsidR="00786AF8" w:rsidRDefault="00786AF8" w:rsidP="00786AF8">
      <w:pPr>
        <w:pStyle w:val="outofbullet2"/>
      </w:pPr>
      <w:r>
        <w:t>Build Own Operate Maintain Transfer (BOOMT)</w:t>
      </w:r>
    </w:p>
    <w:p w:rsidR="00786AF8" w:rsidRDefault="00786AF8" w:rsidP="00786AF8">
      <w:r>
        <w:t>Annex 5 shows</w:t>
      </w:r>
      <w:r w:rsidRPr="00786AF8">
        <w:t xml:space="preserve"> the guidelines to be used for competitive procurement and contracting</w:t>
      </w:r>
      <w:r>
        <w:t>.</w:t>
      </w:r>
    </w:p>
    <w:p w:rsidR="00786AF8" w:rsidRDefault="00786AF8" w:rsidP="00786AF8">
      <w:pPr>
        <w:pStyle w:val="Heading2"/>
      </w:pPr>
      <w:bookmarkStart w:id="34" w:name="_Toc382658234"/>
      <w:r w:rsidRPr="00786AF8">
        <w:t>Banking and Payments</w:t>
      </w:r>
      <w:bookmarkEnd w:id="34"/>
    </w:p>
    <w:p w:rsidR="00786AF8" w:rsidRDefault="00786AF8" w:rsidP="00786AF8">
      <w:r>
        <w:t>TCN will work with investors to institute effective banking and payment arrangements.  In general, investment funds will be kept separate from TCN general funds.  The Investment Consortium will be involved in selection of banks and approvals for release of funds to contractors.  Investors will have the option to make direct payment to contractors.  Such terms and conditions will be set out in the funding agreements.</w:t>
      </w:r>
    </w:p>
    <w:p w:rsidR="00786AF8" w:rsidRDefault="00786AF8" w:rsidP="00786AF8">
      <w:pPr>
        <w:pStyle w:val="Heading2"/>
      </w:pPr>
      <w:bookmarkStart w:id="35" w:name="_Toc382658235"/>
      <w:r>
        <w:t>Matching Investors to Investment Funds</w:t>
      </w:r>
      <w:bookmarkEnd w:id="35"/>
    </w:p>
    <w:p w:rsidR="00786AF8" w:rsidRDefault="00934EF9" w:rsidP="00786AF8">
      <w:r>
        <w:t>The following considerations, among others, will be used to match investors to investment funds:</w:t>
      </w:r>
    </w:p>
    <w:p w:rsidR="00786AF8" w:rsidRDefault="00786AF8" w:rsidP="00934EF9">
      <w:pPr>
        <w:pStyle w:val="bullet"/>
      </w:pPr>
      <w:r>
        <w:t>Ability to meet required funding disbursement schedule</w:t>
      </w:r>
    </w:p>
    <w:p w:rsidR="00786AF8" w:rsidRDefault="00786AF8" w:rsidP="00934EF9">
      <w:pPr>
        <w:pStyle w:val="bullet"/>
      </w:pPr>
      <w:r>
        <w:t>Investor’s internal corporate governance restrictions</w:t>
      </w:r>
    </w:p>
    <w:p w:rsidR="00786AF8" w:rsidRDefault="00786AF8" w:rsidP="00934EF9">
      <w:pPr>
        <w:pStyle w:val="bullet"/>
      </w:pPr>
      <w:r>
        <w:t>Investor’s requirements for due diligence and approvals</w:t>
      </w:r>
    </w:p>
    <w:p w:rsidR="00786AF8" w:rsidRDefault="00786AF8" w:rsidP="00934EF9">
      <w:pPr>
        <w:pStyle w:val="bullet"/>
      </w:pPr>
      <w:r>
        <w:t>Amount of investment required versus investor’s capacity</w:t>
      </w:r>
    </w:p>
    <w:p w:rsidR="00786AF8" w:rsidRDefault="00786AF8" w:rsidP="00934EF9">
      <w:pPr>
        <w:pStyle w:val="bullet"/>
      </w:pPr>
      <w:r>
        <w:t>Investor’s requirements for return on investment</w:t>
      </w:r>
    </w:p>
    <w:p w:rsidR="00786AF8" w:rsidRDefault="00786AF8" w:rsidP="00934EF9">
      <w:pPr>
        <w:pStyle w:val="bullet"/>
      </w:pPr>
      <w:r>
        <w:t>Extent of studies completed versus investor’s requirements</w:t>
      </w:r>
    </w:p>
    <w:p w:rsidR="00786AF8" w:rsidRDefault="00786AF8" w:rsidP="00934EF9">
      <w:pPr>
        <w:pStyle w:val="bullet"/>
      </w:pPr>
      <w:r>
        <w:t>Investor’s requests for non-standard terms and conditions</w:t>
      </w:r>
    </w:p>
    <w:p w:rsidR="00786AF8" w:rsidRDefault="00786AF8" w:rsidP="00934EF9">
      <w:pPr>
        <w:pStyle w:val="bullet"/>
      </w:pPr>
      <w:r>
        <w:t xml:space="preserve">Flexibility of funding model </w:t>
      </w:r>
      <w:proofErr w:type="spellStart"/>
      <w:r>
        <w:t>eg</w:t>
      </w:r>
      <w:proofErr w:type="spellEnd"/>
      <w:r>
        <w:t xml:space="preserve"> BOT</w:t>
      </w:r>
    </w:p>
    <w:p w:rsidR="00786AF8" w:rsidRDefault="00786AF8" w:rsidP="00934EF9">
      <w:pPr>
        <w:pStyle w:val="bullet"/>
      </w:pPr>
      <w:r>
        <w:t>Investor’s track record</w:t>
      </w:r>
    </w:p>
    <w:p w:rsidR="00786AF8" w:rsidRPr="00B50FCF" w:rsidRDefault="00786AF8" w:rsidP="00934EF9">
      <w:pPr>
        <w:pStyle w:val="outofbullet2"/>
      </w:pPr>
      <w:r>
        <w:t>Level of counterpart funding required</w:t>
      </w:r>
    </w:p>
    <w:p w:rsidR="002A1C63" w:rsidRDefault="002A1C63" w:rsidP="00215216">
      <w:pPr>
        <w:pStyle w:val="Heading1"/>
      </w:pPr>
      <w:bookmarkStart w:id="36" w:name="_Toc382658236"/>
      <w:r>
        <w:lastRenderedPageBreak/>
        <w:t>Economic</w:t>
      </w:r>
      <w:r w:rsidR="00DC0C50">
        <w:t xml:space="preserve"> and </w:t>
      </w:r>
      <w:r>
        <w:t>Financial Assessments of Projects</w:t>
      </w:r>
      <w:bookmarkEnd w:id="36"/>
    </w:p>
    <w:p w:rsidR="00DC0C50" w:rsidRDefault="00DC0C50" w:rsidP="00DC0C50">
      <w:r>
        <w:t>Annex 3 provides an economic assessment of the new projects include</w:t>
      </w:r>
      <w:r w:rsidR="00243688">
        <w:t>d</w:t>
      </w:r>
      <w:r>
        <w:t xml:space="preserve"> in Financing Package 2.  The economic analysis compares two cases, with and without the transmission projects.  Project benefits are calculated as the savings to consumers for replacement of costly self-generation from diesel and petrol generators with grid-supplied power priced at prevailing tariff levels.  Project costs are calculated as the sum of project completion costs plus economic values of lands occupied by transmission.  All of the groups of projects in Financing Package 2 are estimated to be cost effective from </w:t>
      </w:r>
      <w:r w:rsidR="00243688">
        <w:t>the</w:t>
      </w:r>
      <w:r>
        <w:t xml:space="preserve"> consumer</w:t>
      </w:r>
      <w:r w:rsidR="00243688">
        <w:t>’s</w:t>
      </w:r>
      <w:r>
        <w:t xml:space="preserve"> standpoint.</w:t>
      </w:r>
    </w:p>
    <w:p w:rsidR="00DC0C50" w:rsidRDefault="00DC0C50" w:rsidP="00243688">
      <w:r>
        <w:t xml:space="preserve">Annex 4 provides an assessment of the financial viability of each group of projects assessed in terms of project </w:t>
      </w:r>
      <w:r w:rsidR="00243688">
        <w:t xml:space="preserve">benefits </w:t>
      </w:r>
      <w:r>
        <w:t>(</w:t>
      </w:r>
      <w:r w:rsidR="00243688">
        <w:t>tariff revenues collected for the increase in wheeled energy</w:t>
      </w:r>
      <w:r>
        <w:t>) and costs</w:t>
      </w:r>
      <w:r w:rsidRPr="00DC0C50">
        <w:t xml:space="preserve"> </w:t>
      </w:r>
      <w:r w:rsidR="00243688">
        <w:t>(i</w:t>
      </w:r>
      <w:r>
        <w:t>nvestment costs, operations &amp; maintenance (O&amp;M) costs and corporate income tax on profits</w:t>
      </w:r>
      <w:r w:rsidR="00243688">
        <w:t>)</w:t>
      </w:r>
      <w:r>
        <w:t xml:space="preserve">.  Each group is considered financially viable if its Financial Internal Rate of Return (FIRR) is equal to or greater than the Weighted Average Cost of Capital (WACC), estimated at 7.5% (real after tax as per NERC estimates for MYTO tariff evaluation).  </w:t>
      </w:r>
    </w:p>
    <w:p w:rsidR="00D22994" w:rsidRDefault="00243688" w:rsidP="00243688">
      <w:pPr>
        <w:sectPr w:rsidR="00D22994" w:rsidSect="002F19E0">
          <w:pgSz w:w="11907" w:h="16839" w:code="9"/>
          <w:pgMar w:top="1440" w:right="1440" w:bottom="1440" w:left="1440" w:header="720" w:footer="720" w:gutter="0"/>
          <w:pgNumType w:start="1"/>
          <w:cols w:space="720"/>
          <w:docGrid w:linePitch="360"/>
        </w:sectPr>
      </w:pPr>
      <w:r>
        <w:t xml:space="preserve">The benefits are evaluated for two alternative tariff scenarios, MYTO II tariff levels and fully cost reflective tariffs.  The assessment indicates that fully cost reflective tariffs will provide the required positive financial results for all Groups in Financing Package 2.  However, financial returns are inadequate if existing MYTO II tariff levels will persist into the future.  </w:t>
      </w:r>
      <w:r w:rsidRPr="00243688">
        <w:t>T</w:t>
      </w:r>
      <w:r>
        <w:t>o address this risk, T</w:t>
      </w:r>
      <w:r w:rsidRPr="00243688">
        <w:t xml:space="preserve">CN </w:t>
      </w:r>
      <w:r>
        <w:t>intends to</w:t>
      </w:r>
      <w:r w:rsidRPr="00243688">
        <w:t xml:space="preserve"> make an application to NERC for higher tariffs to reflect changes since </w:t>
      </w:r>
      <w:r>
        <w:t xml:space="preserve">the tariffs were developed, which have been unfavourable to TCN from a revenue standpoint.  </w:t>
      </w:r>
    </w:p>
    <w:p w:rsidR="00D22994" w:rsidRDefault="00D22994" w:rsidP="00D22994">
      <w:pPr>
        <w:rPr>
          <w:b/>
          <w:sz w:val="40"/>
          <w:szCs w:val="40"/>
        </w:rPr>
      </w:pPr>
    </w:p>
    <w:p w:rsidR="002C5333" w:rsidRDefault="002C5333" w:rsidP="00D22994">
      <w:pPr>
        <w:rPr>
          <w:b/>
          <w:sz w:val="40"/>
          <w:szCs w:val="40"/>
        </w:rPr>
      </w:pPr>
    </w:p>
    <w:p w:rsidR="00D22994" w:rsidRPr="00D22994" w:rsidRDefault="00D22994" w:rsidP="00D22994">
      <w:pPr>
        <w:pStyle w:val="Heading4"/>
      </w:pPr>
      <w:bookmarkStart w:id="37" w:name="_Toc382658237"/>
      <w:r w:rsidRPr="00D22994">
        <w:t>Annex 1</w:t>
      </w:r>
      <w:r w:rsidRPr="00D22994">
        <w:br/>
      </w:r>
      <w:r w:rsidRPr="00D22994">
        <w:br/>
        <w:t>Transmission System Devel</w:t>
      </w:r>
      <w:r w:rsidR="000E4A84">
        <w:t xml:space="preserve">opment Plan and Capital Funding </w:t>
      </w:r>
      <w:r w:rsidRPr="00D22994">
        <w:t>Requirements</w:t>
      </w:r>
      <w:bookmarkEnd w:id="37"/>
      <w:r w:rsidRPr="00D22994">
        <w:t xml:space="preserve"> </w:t>
      </w:r>
    </w:p>
    <w:p w:rsidR="00D22994" w:rsidRPr="00D22994" w:rsidRDefault="00D22994" w:rsidP="00D22994">
      <w:pPr>
        <w:pStyle w:val="Heading4"/>
      </w:pPr>
      <w:r w:rsidRPr="00D22994">
        <w:br w:type="page"/>
      </w:r>
    </w:p>
    <w:p w:rsidR="00D22994" w:rsidRDefault="00D22994" w:rsidP="00D22994">
      <w:pPr>
        <w:rPr>
          <w:b/>
          <w:sz w:val="40"/>
          <w:szCs w:val="40"/>
        </w:rPr>
      </w:pPr>
    </w:p>
    <w:p w:rsidR="002C5333" w:rsidRDefault="002C5333" w:rsidP="00D22994">
      <w:pPr>
        <w:rPr>
          <w:b/>
          <w:sz w:val="40"/>
          <w:szCs w:val="40"/>
        </w:rPr>
      </w:pPr>
    </w:p>
    <w:p w:rsidR="00D22994" w:rsidRDefault="00D22994" w:rsidP="00D22994">
      <w:pPr>
        <w:pStyle w:val="Heading4"/>
      </w:pPr>
      <w:bookmarkStart w:id="38" w:name="_Toc382658238"/>
      <w:r>
        <w:t>Annex 2</w:t>
      </w:r>
      <w:r>
        <w:br/>
      </w:r>
      <w:r>
        <w:br/>
      </w:r>
      <w:r w:rsidRPr="00D22994">
        <w:t>Economic Benefit Assessment of Financing Package 2</w:t>
      </w:r>
      <w:r w:rsidR="002C5333">
        <w:t xml:space="preserve"> Projects</w:t>
      </w:r>
      <w:bookmarkEnd w:id="38"/>
    </w:p>
    <w:p w:rsidR="00D22994" w:rsidRDefault="00D22994" w:rsidP="00D22994">
      <w:pPr>
        <w:rPr>
          <w:rFonts w:eastAsiaTheme="majorEastAsia"/>
          <w:sz w:val="40"/>
          <w:szCs w:val="40"/>
        </w:rPr>
      </w:pPr>
      <w:r>
        <w:br w:type="page"/>
      </w:r>
    </w:p>
    <w:p w:rsidR="00D22994" w:rsidRDefault="00D22994" w:rsidP="00D22994">
      <w:pPr>
        <w:pStyle w:val="Heading4"/>
      </w:pPr>
    </w:p>
    <w:p w:rsidR="002C5333" w:rsidRPr="002C5333" w:rsidRDefault="002C5333" w:rsidP="002C5333"/>
    <w:p w:rsidR="00D22994" w:rsidRDefault="00D22994" w:rsidP="00D22994">
      <w:pPr>
        <w:pStyle w:val="Heading4"/>
      </w:pPr>
      <w:bookmarkStart w:id="39" w:name="_Toc382658239"/>
      <w:r w:rsidRPr="00D22994">
        <w:t>Annex 3</w:t>
      </w:r>
      <w:r>
        <w:br/>
      </w:r>
      <w:r>
        <w:br/>
        <w:t xml:space="preserve">Financial Analysis of </w:t>
      </w:r>
      <w:r w:rsidR="002C5333">
        <w:t xml:space="preserve">Financing </w:t>
      </w:r>
      <w:r>
        <w:t>Package 2 Projects</w:t>
      </w:r>
      <w:bookmarkEnd w:id="39"/>
    </w:p>
    <w:p w:rsidR="00D22994" w:rsidRDefault="00D22994">
      <w:pPr>
        <w:spacing w:after="200"/>
        <w:rPr>
          <w:b/>
          <w:sz w:val="40"/>
          <w:szCs w:val="40"/>
        </w:rPr>
      </w:pPr>
      <w:r>
        <w:rPr>
          <w:b/>
          <w:sz w:val="40"/>
          <w:szCs w:val="40"/>
        </w:rPr>
        <w:br w:type="page"/>
      </w:r>
    </w:p>
    <w:p w:rsidR="00D22994" w:rsidRDefault="00D22994" w:rsidP="00D22994">
      <w:pPr>
        <w:rPr>
          <w:b/>
          <w:sz w:val="40"/>
          <w:szCs w:val="40"/>
        </w:rPr>
      </w:pPr>
    </w:p>
    <w:p w:rsidR="002C5333" w:rsidRPr="00D22994" w:rsidRDefault="002C5333" w:rsidP="00D22994">
      <w:pPr>
        <w:rPr>
          <w:b/>
          <w:sz w:val="40"/>
          <w:szCs w:val="40"/>
        </w:rPr>
      </w:pPr>
    </w:p>
    <w:p w:rsidR="00D22994" w:rsidRDefault="00D22994" w:rsidP="00D22994">
      <w:pPr>
        <w:pStyle w:val="Heading4"/>
      </w:pPr>
      <w:bookmarkStart w:id="40" w:name="_Toc382658240"/>
      <w:r w:rsidRPr="00D22994">
        <w:t>Annex 4</w:t>
      </w:r>
      <w:r>
        <w:br/>
      </w:r>
      <w:r>
        <w:br/>
        <w:t>Financial Assessment of TCN</w:t>
      </w:r>
      <w:bookmarkEnd w:id="40"/>
    </w:p>
    <w:p w:rsidR="00D22994" w:rsidRDefault="00D22994" w:rsidP="00D22994">
      <w:pPr>
        <w:rPr>
          <w:rFonts w:eastAsiaTheme="majorEastAsia"/>
          <w:sz w:val="40"/>
          <w:szCs w:val="40"/>
        </w:rPr>
      </w:pPr>
      <w:r>
        <w:br w:type="page"/>
      </w:r>
    </w:p>
    <w:p w:rsidR="00D22994" w:rsidRDefault="00D22994" w:rsidP="00D22994">
      <w:pPr>
        <w:pStyle w:val="Heading4"/>
      </w:pPr>
    </w:p>
    <w:p w:rsidR="002C5333" w:rsidRPr="002C5333" w:rsidRDefault="002C5333" w:rsidP="002C5333"/>
    <w:p w:rsidR="00D22994" w:rsidRPr="00C31506" w:rsidRDefault="00D22994" w:rsidP="002C5333">
      <w:pPr>
        <w:pStyle w:val="Heading4"/>
      </w:pPr>
      <w:bookmarkStart w:id="41" w:name="_Toc382658241"/>
      <w:r w:rsidRPr="00D22994">
        <w:t>Annex 5</w:t>
      </w:r>
      <w:r>
        <w:br/>
      </w:r>
      <w:r>
        <w:br/>
        <w:t>Guidelines for C</w:t>
      </w:r>
      <w:r w:rsidRPr="00D22994">
        <w:t xml:space="preserve">ompetitive </w:t>
      </w:r>
      <w:r>
        <w:t>P</w:t>
      </w:r>
      <w:r w:rsidRPr="00D22994">
        <w:t xml:space="preserve">rocurement and </w:t>
      </w:r>
      <w:r>
        <w:t>Contracting</w:t>
      </w:r>
      <w:bookmarkEnd w:id="41"/>
    </w:p>
    <w:p w:rsidR="00243688" w:rsidRDefault="00243688" w:rsidP="00D22994"/>
    <w:p w:rsidR="002F19E0" w:rsidRDefault="002F19E0" w:rsidP="00D22994"/>
    <w:p w:rsidR="002F19E0" w:rsidRDefault="002F19E0" w:rsidP="00D22994"/>
    <w:p w:rsidR="002F19E0" w:rsidRPr="002F19E0" w:rsidRDefault="002F19E0" w:rsidP="002F19E0">
      <w:pPr>
        <w:ind w:left="1800" w:hanging="1800"/>
        <w:rPr>
          <w:sz w:val="32"/>
          <w:szCs w:val="32"/>
        </w:rPr>
      </w:pPr>
      <w:r w:rsidRPr="002F19E0">
        <w:rPr>
          <w:sz w:val="32"/>
          <w:szCs w:val="32"/>
        </w:rPr>
        <w:t>Section 1:</w:t>
      </w:r>
      <w:r w:rsidRPr="002F19E0">
        <w:rPr>
          <w:sz w:val="32"/>
          <w:szCs w:val="32"/>
        </w:rPr>
        <w:tab/>
        <w:t>Nigeria Public Procurement Act, 2007</w:t>
      </w:r>
    </w:p>
    <w:p w:rsidR="002F19E0" w:rsidRPr="002F19E0" w:rsidRDefault="002F19E0" w:rsidP="002F19E0">
      <w:pPr>
        <w:ind w:left="1800" w:hanging="1800"/>
        <w:rPr>
          <w:sz w:val="32"/>
          <w:szCs w:val="32"/>
        </w:rPr>
      </w:pPr>
      <w:r w:rsidRPr="002F19E0">
        <w:rPr>
          <w:sz w:val="32"/>
          <w:szCs w:val="32"/>
        </w:rPr>
        <w:t>Section 2:</w:t>
      </w:r>
      <w:r w:rsidRPr="002F19E0">
        <w:rPr>
          <w:sz w:val="32"/>
          <w:szCs w:val="32"/>
        </w:rPr>
        <w:tab/>
        <w:t>Nine Essential Steps in Public Procurement</w:t>
      </w:r>
    </w:p>
    <w:p w:rsidR="002F19E0" w:rsidRPr="002F19E0" w:rsidRDefault="002F19E0" w:rsidP="002F19E0">
      <w:pPr>
        <w:ind w:left="1800" w:hanging="1800"/>
        <w:rPr>
          <w:sz w:val="32"/>
          <w:szCs w:val="32"/>
        </w:rPr>
      </w:pPr>
      <w:r w:rsidRPr="002F19E0">
        <w:rPr>
          <w:sz w:val="32"/>
          <w:szCs w:val="32"/>
        </w:rPr>
        <w:t>Section 3:</w:t>
      </w:r>
      <w:r w:rsidRPr="002F19E0">
        <w:rPr>
          <w:sz w:val="32"/>
          <w:szCs w:val="32"/>
        </w:rPr>
        <w:tab/>
        <w:t>Bureau of Public Procurement Thresholds for Service-wide Public Procurement</w:t>
      </w:r>
    </w:p>
    <w:sectPr w:rsidR="002F19E0" w:rsidRPr="002F19E0" w:rsidSect="002F19E0">
      <w:footerReference w:type="default" r:id="rId14"/>
      <w:pgSz w:w="11907" w:h="16839" w:code="9"/>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66A9" w:rsidRDefault="009866A9" w:rsidP="00215216">
      <w:r>
        <w:separator/>
      </w:r>
    </w:p>
  </w:endnote>
  <w:endnote w:type="continuationSeparator" w:id="0">
    <w:p w:rsidR="009866A9" w:rsidRDefault="009866A9" w:rsidP="002152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7973"/>
      <w:docPartObj>
        <w:docPartGallery w:val="Page Numbers (Bottom of Page)"/>
        <w:docPartUnique/>
      </w:docPartObj>
    </w:sdtPr>
    <w:sdtContent>
      <w:p w:rsidR="00010861" w:rsidRDefault="00010861" w:rsidP="00215216">
        <w:pPr>
          <w:pStyle w:val="Footer"/>
        </w:pPr>
        <w:r>
          <w:rPr>
            <w:noProof/>
            <w:lang w:val="en-US" w:eastAsia="en-US"/>
          </w:rPr>
          <w:drawing>
            <wp:anchor distT="0" distB="0" distL="114300" distR="114300" simplePos="0" relativeHeight="251658240" behindDoc="1" locked="0" layoutInCell="1" allowOverlap="1">
              <wp:simplePos x="0" y="0"/>
              <wp:positionH relativeFrom="column">
                <wp:posOffset>5213903</wp:posOffset>
              </wp:positionH>
              <wp:positionV relativeFrom="paragraph">
                <wp:posOffset>-288566</wp:posOffset>
              </wp:positionV>
              <wp:extent cx="762828" cy="563217"/>
              <wp:effectExtent l="19050" t="0" r="0" b="0"/>
              <wp:wrapNone/>
              <wp:docPr id="4" name="Picture 2" descr="tcn logo 4.jpg"/>
              <wp:cNvGraphicFramePr/>
              <a:graphic xmlns:a="http://schemas.openxmlformats.org/drawingml/2006/main">
                <a:graphicData uri="http://schemas.openxmlformats.org/drawingml/2006/picture">
                  <pic:pic xmlns:pic="http://schemas.openxmlformats.org/drawingml/2006/picture">
                    <pic:nvPicPr>
                      <pic:cNvPr id="16" name="Picture 15" descr="tcn logo 4.jpg"/>
                      <pic:cNvPicPr>
                        <a:picLocks noChangeAspect="1"/>
                      </pic:cNvPicPr>
                    </pic:nvPicPr>
                    <pic:blipFill>
                      <a:blip r:embed="rId1" cstate="print"/>
                      <a:stretch>
                        <a:fillRect/>
                      </a:stretch>
                    </pic:blipFill>
                    <pic:spPr>
                      <a:xfrm>
                        <a:off x="0" y="0"/>
                        <a:ext cx="762828" cy="563217"/>
                      </a:xfrm>
                      <a:prstGeom prst="rect">
                        <a:avLst/>
                      </a:prstGeom>
                    </pic:spPr>
                  </pic:pic>
                </a:graphicData>
              </a:graphic>
            </wp:anchor>
          </w:drawing>
        </w:r>
        <w:fldSimple w:instr=" PAGE   \* MERGEFORMAT ">
          <w:r w:rsidR="000E4A84">
            <w:rPr>
              <w:noProof/>
            </w:rPr>
            <w:t>i</w:t>
          </w:r>
        </w:fldSimple>
        <w:r w:rsidRPr="00D476F9">
          <w:rPr>
            <w:noProof/>
            <w:lang w:val="en-US" w:eastAsia="en-US"/>
          </w:rPr>
          <w:t xml:space="preserve"> </w:t>
        </w:r>
        <w:r>
          <w:rPr>
            <w:noProof/>
            <w:lang w:val="en-US" w:eastAsia="en-US"/>
          </w:rPr>
          <w:tab/>
        </w:r>
        <w:r>
          <w:rPr>
            <w:noProof/>
            <w:lang w:val="en-US" w:eastAsia="en-US"/>
          </w:rPr>
          <w:tab/>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7943"/>
      <w:docPartObj>
        <w:docPartGallery w:val="Page Numbers (Bottom of Page)"/>
        <w:docPartUnique/>
      </w:docPartObj>
    </w:sdtPr>
    <w:sdtContent>
      <w:p w:rsidR="00D22994" w:rsidRDefault="00D22994" w:rsidP="00215216">
        <w:pPr>
          <w:pStyle w:val="Footer"/>
        </w:pPr>
        <w:r>
          <w:rPr>
            <w:noProof/>
            <w:lang w:val="en-US" w:eastAsia="en-US"/>
          </w:rPr>
          <w:drawing>
            <wp:anchor distT="0" distB="0" distL="114300" distR="114300" simplePos="0" relativeHeight="251660288" behindDoc="1" locked="0" layoutInCell="1" allowOverlap="1">
              <wp:simplePos x="0" y="0"/>
              <wp:positionH relativeFrom="column">
                <wp:posOffset>5213903</wp:posOffset>
              </wp:positionH>
              <wp:positionV relativeFrom="paragraph">
                <wp:posOffset>-288566</wp:posOffset>
              </wp:positionV>
              <wp:extent cx="762828" cy="563217"/>
              <wp:effectExtent l="19050" t="0" r="0" b="0"/>
              <wp:wrapNone/>
              <wp:docPr id="2" name="Picture 2" descr="tcn logo 4.jpg"/>
              <wp:cNvGraphicFramePr/>
              <a:graphic xmlns:a="http://schemas.openxmlformats.org/drawingml/2006/main">
                <a:graphicData uri="http://schemas.openxmlformats.org/drawingml/2006/picture">
                  <pic:pic xmlns:pic="http://schemas.openxmlformats.org/drawingml/2006/picture">
                    <pic:nvPicPr>
                      <pic:cNvPr id="16" name="Picture 15" descr="tcn logo 4.jpg"/>
                      <pic:cNvPicPr>
                        <a:picLocks noChangeAspect="1"/>
                      </pic:cNvPicPr>
                    </pic:nvPicPr>
                    <pic:blipFill>
                      <a:blip r:embed="rId1" cstate="print"/>
                      <a:stretch>
                        <a:fillRect/>
                      </a:stretch>
                    </pic:blipFill>
                    <pic:spPr>
                      <a:xfrm>
                        <a:off x="0" y="0"/>
                        <a:ext cx="762828" cy="563217"/>
                      </a:xfrm>
                      <a:prstGeom prst="rect">
                        <a:avLst/>
                      </a:prstGeom>
                    </pic:spPr>
                  </pic:pic>
                </a:graphicData>
              </a:graphic>
            </wp:anchor>
          </w:drawing>
        </w:r>
        <w:r>
          <w:rPr>
            <w:noProof/>
            <w:lang w:val="en-US" w:eastAsia="en-US"/>
          </w:rPr>
          <w:tab/>
        </w:r>
        <w:r>
          <w:rPr>
            <w:noProof/>
            <w:lang w:val="en-US" w:eastAsia="en-US"/>
          </w:rPr>
          <w:tab/>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66A9" w:rsidRDefault="009866A9" w:rsidP="00215216">
      <w:r>
        <w:separator/>
      </w:r>
    </w:p>
  </w:footnote>
  <w:footnote w:type="continuationSeparator" w:id="0">
    <w:p w:rsidR="009866A9" w:rsidRDefault="009866A9" w:rsidP="002152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B186D"/>
    <w:multiLevelType w:val="hybridMultilevel"/>
    <w:tmpl w:val="84460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E4274"/>
    <w:multiLevelType w:val="hybridMultilevel"/>
    <w:tmpl w:val="1696B83A"/>
    <w:lvl w:ilvl="0" w:tplc="10090001">
      <w:start w:val="1"/>
      <w:numFmt w:val="bullet"/>
      <w:lvlText w:val=""/>
      <w:lvlJc w:val="left"/>
      <w:pPr>
        <w:ind w:left="720" w:hanging="360"/>
      </w:pPr>
      <w:rPr>
        <w:rFonts w:ascii="Symbol" w:hAnsi="Symbol" w:hint="default"/>
      </w:rPr>
    </w:lvl>
    <w:lvl w:ilvl="1" w:tplc="10090001">
      <w:start w:val="1"/>
      <w:numFmt w:val="bullet"/>
      <w:lvlText w:val=""/>
      <w:lvlJc w:val="left"/>
      <w:pPr>
        <w:ind w:left="1440" w:hanging="360"/>
      </w:pPr>
      <w:rPr>
        <w:rFonts w:ascii="Symbol" w:hAnsi="Symbo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13B2D37"/>
    <w:multiLevelType w:val="hybridMultilevel"/>
    <w:tmpl w:val="A8229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0C7BBD"/>
    <w:multiLevelType w:val="hybridMultilevel"/>
    <w:tmpl w:val="974E3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373C38"/>
    <w:multiLevelType w:val="hybridMultilevel"/>
    <w:tmpl w:val="FBC0A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983D41"/>
    <w:multiLevelType w:val="hybridMultilevel"/>
    <w:tmpl w:val="34F88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4F0694"/>
    <w:multiLevelType w:val="hybridMultilevel"/>
    <w:tmpl w:val="3CFAC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AA13BA"/>
    <w:multiLevelType w:val="hybridMultilevel"/>
    <w:tmpl w:val="E09A05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3827255"/>
    <w:multiLevelType w:val="hybridMultilevel"/>
    <w:tmpl w:val="FBDA8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37628D"/>
    <w:multiLevelType w:val="hybridMultilevel"/>
    <w:tmpl w:val="64A442D6"/>
    <w:lvl w:ilvl="0" w:tplc="36E677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3628F1"/>
    <w:multiLevelType w:val="hybridMultilevel"/>
    <w:tmpl w:val="DDC8FF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DC81768"/>
    <w:multiLevelType w:val="multilevel"/>
    <w:tmpl w:val="7C8CA97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nsid w:val="2FEA60DE"/>
    <w:multiLevelType w:val="hybridMultilevel"/>
    <w:tmpl w:val="FD2AB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7926AF"/>
    <w:multiLevelType w:val="hybridMultilevel"/>
    <w:tmpl w:val="8DD46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290BC5"/>
    <w:multiLevelType w:val="hybridMultilevel"/>
    <w:tmpl w:val="67CEB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C2489A"/>
    <w:multiLevelType w:val="hybridMultilevel"/>
    <w:tmpl w:val="E0420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627B57"/>
    <w:multiLevelType w:val="hybridMultilevel"/>
    <w:tmpl w:val="30AEDD6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3ECA092B"/>
    <w:multiLevelType w:val="hybridMultilevel"/>
    <w:tmpl w:val="DFE876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431F7A"/>
    <w:multiLevelType w:val="hybridMultilevel"/>
    <w:tmpl w:val="7AE06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8831B5D"/>
    <w:multiLevelType w:val="hybridMultilevel"/>
    <w:tmpl w:val="FD1A8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4796ADB"/>
    <w:multiLevelType w:val="hybridMultilevel"/>
    <w:tmpl w:val="46E656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3700946"/>
    <w:multiLevelType w:val="hybridMultilevel"/>
    <w:tmpl w:val="AB185A5C"/>
    <w:lvl w:ilvl="0" w:tplc="DB6C3AB6">
      <w:start w:val="1"/>
      <w:numFmt w:val="bullet"/>
      <w:pStyle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AD719E5"/>
    <w:multiLevelType w:val="hybridMultilevel"/>
    <w:tmpl w:val="44B09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3066FBE"/>
    <w:multiLevelType w:val="hybridMultilevel"/>
    <w:tmpl w:val="51F80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5F764AC"/>
    <w:multiLevelType w:val="hybridMultilevel"/>
    <w:tmpl w:val="CD94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8F52720"/>
    <w:multiLevelType w:val="hybridMultilevel"/>
    <w:tmpl w:val="D6E46582"/>
    <w:lvl w:ilvl="0" w:tplc="79B6D5A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E6A6C62"/>
    <w:multiLevelType w:val="hybridMultilevel"/>
    <w:tmpl w:val="6F662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13"/>
  </w:num>
  <w:num w:numId="4">
    <w:abstractNumId w:val="5"/>
  </w:num>
  <w:num w:numId="5">
    <w:abstractNumId w:val="11"/>
  </w:num>
  <w:num w:numId="6">
    <w:abstractNumId w:val="4"/>
  </w:num>
  <w:num w:numId="7">
    <w:abstractNumId w:val="24"/>
  </w:num>
  <w:num w:numId="8">
    <w:abstractNumId w:val="8"/>
  </w:num>
  <w:num w:numId="9">
    <w:abstractNumId w:val="0"/>
  </w:num>
  <w:num w:numId="10">
    <w:abstractNumId w:val="22"/>
  </w:num>
  <w:num w:numId="11">
    <w:abstractNumId w:val="26"/>
  </w:num>
  <w:num w:numId="12">
    <w:abstractNumId w:val="23"/>
  </w:num>
  <w:num w:numId="13">
    <w:abstractNumId w:val="19"/>
  </w:num>
  <w:num w:numId="14">
    <w:abstractNumId w:val="9"/>
  </w:num>
  <w:num w:numId="15">
    <w:abstractNumId w:val="3"/>
  </w:num>
  <w:num w:numId="16">
    <w:abstractNumId w:val="25"/>
  </w:num>
  <w:num w:numId="17">
    <w:abstractNumId w:val="7"/>
  </w:num>
  <w:num w:numId="18">
    <w:abstractNumId w:val="20"/>
  </w:num>
  <w:num w:numId="19">
    <w:abstractNumId w:val="17"/>
  </w:num>
  <w:num w:numId="20">
    <w:abstractNumId w:val="6"/>
  </w:num>
  <w:num w:numId="21">
    <w:abstractNumId w:val="16"/>
  </w:num>
  <w:num w:numId="22">
    <w:abstractNumId w:val="1"/>
  </w:num>
  <w:num w:numId="23">
    <w:abstractNumId w:val="18"/>
  </w:num>
  <w:num w:numId="24">
    <w:abstractNumId w:val="2"/>
  </w:num>
  <w:num w:numId="25">
    <w:abstractNumId w:val="12"/>
  </w:num>
  <w:num w:numId="26">
    <w:abstractNumId w:val="10"/>
  </w:num>
  <w:num w:numId="2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36"/>
  <w:proofState w:spelling="clean" w:grammar="clean"/>
  <w:defaultTabStop w:val="720"/>
  <w:drawingGridHorizontalSpacing w:val="120"/>
  <w:displayHorizontalDrawingGridEvery w:val="2"/>
  <w:characterSpacingControl w:val="doNotCompress"/>
  <w:hdrShapeDefaults>
    <o:shapedefaults v:ext="edit" spidmax="35842"/>
  </w:hdrShapeDefaults>
  <w:footnotePr>
    <w:footnote w:id="-1"/>
    <w:footnote w:id="0"/>
  </w:footnotePr>
  <w:endnotePr>
    <w:endnote w:id="-1"/>
    <w:endnote w:id="0"/>
  </w:endnotePr>
  <w:compat>
    <w:useFELayout/>
  </w:compat>
  <w:rsids>
    <w:rsidRoot w:val="00CF604E"/>
    <w:rsid w:val="00002A95"/>
    <w:rsid w:val="00010861"/>
    <w:rsid w:val="000123DF"/>
    <w:rsid w:val="000142B2"/>
    <w:rsid w:val="0002219D"/>
    <w:rsid w:val="00022519"/>
    <w:rsid w:val="00023D89"/>
    <w:rsid w:val="00023E98"/>
    <w:rsid w:val="000307D6"/>
    <w:rsid w:val="00034842"/>
    <w:rsid w:val="00041F7C"/>
    <w:rsid w:val="00043F47"/>
    <w:rsid w:val="000443D0"/>
    <w:rsid w:val="00047080"/>
    <w:rsid w:val="00056C3D"/>
    <w:rsid w:val="0005721A"/>
    <w:rsid w:val="000578B0"/>
    <w:rsid w:val="00066381"/>
    <w:rsid w:val="00076491"/>
    <w:rsid w:val="000930D8"/>
    <w:rsid w:val="000945B1"/>
    <w:rsid w:val="00095FD6"/>
    <w:rsid w:val="0009734A"/>
    <w:rsid w:val="000A42FF"/>
    <w:rsid w:val="000B13BF"/>
    <w:rsid w:val="000B1503"/>
    <w:rsid w:val="000B1DD8"/>
    <w:rsid w:val="000C032A"/>
    <w:rsid w:val="000C1CFC"/>
    <w:rsid w:val="000C1F4B"/>
    <w:rsid w:val="000C3B1C"/>
    <w:rsid w:val="000C61C9"/>
    <w:rsid w:val="000D3CF7"/>
    <w:rsid w:val="000D46E1"/>
    <w:rsid w:val="000D6C12"/>
    <w:rsid w:val="000E4A84"/>
    <w:rsid w:val="000E551F"/>
    <w:rsid w:val="000E62C0"/>
    <w:rsid w:val="000F2DD2"/>
    <w:rsid w:val="00100DD6"/>
    <w:rsid w:val="001030C3"/>
    <w:rsid w:val="00112FF7"/>
    <w:rsid w:val="001161B3"/>
    <w:rsid w:val="0012215A"/>
    <w:rsid w:val="00133F08"/>
    <w:rsid w:val="001343F3"/>
    <w:rsid w:val="00147994"/>
    <w:rsid w:val="00153B51"/>
    <w:rsid w:val="00155BC4"/>
    <w:rsid w:val="00164E7B"/>
    <w:rsid w:val="00183906"/>
    <w:rsid w:val="00196C7F"/>
    <w:rsid w:val="001B0276"/>
    <w:rsid w:val="001C0659"/>
    <w:rsid w:val="001D0E30"/>
    <w:rsid w:val="001D27DC"/>
    <w:rsid w:val="001E6FBB"/>
    <w:rsid w:val="001F0CDD"/>
    <w:rsid w:val="001F3B0E"/>
    <w:rsid w:val="002051CF"/>
    <w:rsid w:val="00205F76"/>
    <w:rsid w:val="00215216"/>
    <w:rsid w:val="0021655A"/>
    <w:rsid w:val="002421DE"/>
    <w:rsid w:val="00243688"/>
    <w:rsid w:val="0024427A"/>
    <w:rsid w:val="00245C06"/>
    <w:rsid w:val="00251B3D"/>
    <w:rsid w:val="002663E7"/>
    <w:rsid w:val="00267E8B"/>
    <w:rsid w:val="00273ED8"/>
    <w:rsid w:val="00282ABF"/>
    <w:rsid w:val="00283E70"/>
    <w:rsid w:val="0028602B"/>
    <w:rsid w:val="002956A3"/>
    <w:rsid w:val="00297463"/>
    <w:rsid w:val="002A1C63"/>
    <w:rsid w:val="002A6DCB"/>
    <w:rsid w:val="002A7129"/>
    <w:rsid w:val="002A7BB0"/>
    <w:rsid w:val="002B1417"/>
    <w:rsid w:val="002B1BA9"/>
    <w:rsid w:val="002B4BFB"/>
    <w:rsid w:val="002B56AE"/>
    <w:rsid w:val="002B65DC"/>
    <w:rsid w:val="002C4BB7"/>
    <w:rsid w:val="002C5333"/>
    <w:rsid w:val="002D55BB"/>
    <w:rsid w:val="002E132B"/>
    <w:rsid w:val="002E45E1"/>
    <w:rsid w:val="002F19E0"/>
    <w:rsid w:val="002F5D0C"/>
    <w:rsid w:val="002F7A43"/>
    <w:rsid w:val="00304B88"/>
    <w:rsid w:val="003110E5"/>
    <w:rsid w:val="003218F3"/>
    <w:rsid w:val="00351002"/>
    <w:rsid w:val="00352299"/>
    <w:rsid w:val="00355BAC"/>
    <w:rsid w:val="003578E6"/>
    <w:rsid w:val="00357EE3"/>
    <w:rsid w:val="00364A5D"/>
    <w:rsid w:val="003665CD"/>
    <w:rsid w:val="003703B9"/>
    <w:rsid w:val="003973F8"/>
    <w:rsid w:val="0039772C"/>
    <w:rsid w:val="003A26FF"/>
    <w:rsid w:val="003B4029"/>
    <w:rsid w:val="003C12E9"/>
    <w:rsid w:val="003C3857"/>
    <w:rsid w:val="003C5555"/>
    <w:rsid w:val="003D2F20"/>
    <w:rsid w:val="003E0308"/>
    <w:rsid w:val="00400A1E"/>
    <w:rsid w:val="00401268"/>
    <w:rsid w:val="0040504D"/>
    <w:rsid w:val="00407DA7"/>
    <w:rsid w:val="004169EC"/>
    <w:rsid w:val="0044227D"/>
    <w:rsid w:val="00442DA4"/>
    <w:rsid w:val="004440C6"/>
    <w:rsid w:val="00462ADC"/>
    <w:rsid w:val="004632DE"/>
    <w:rsid w:val="00471579"/>
    <w:rsid w:val="00483E2A"/>
    <w:rsid w:val="004A225C"/>
    <w:rsid w:val="004B060C"/>
    <w:rsid w:val="004B3189"/>
    <w:rsid w:val="004C2C68"/>
    <w:rsid w:val="004C31FF"/>
    <w:rsid w:val="004D011E"/>
    <w:rsid w:val="004D0709"/>
    <w:rsid w:val="004D1D5D"/>
    <w:rsid w:val="004E2DDB"/>
    <w:rsid w:val="004E6447"/>
    <w:rsid w:val="004F0836"/>
    <w:rsid w:val="004F494E"/>
    <w:rsid w:val="004F6173"/>
    <w:rsid w:val="00502A24"/>
    <w:rsid w:val="00504338"/>
    <w:rsid w:val="00505782"/>
    <w:rsid w:val="00507A6B"/>
    <w:rsid w:val="00510053"/>
    <w:rsid w:val="00520EB7"/>
    <w:rsid w:val="0052706B"/>
    <w:rsid w:val="00531EED"/>
    <w:rsid w:val="0053563C"/>
    <w:rsid w:val="00535F5D"/>
    <w:rsid w:val="005364E8"/>
    <w:rsid w:val="005367E9"/>
    <w:rsid w:val="0054242F"/>
    <w:rsid w:val="0054273E"/>
    <w:rsid w:val="00562493"/>
    <w:rsid w:val="00566314"/>
    <w:rsid w:val="005869C2"/>
    <w:rsid w:val="00587655"/>
    <w:rsid w:val="00596A9E"/>
    <w:rsid w:val="005A3237"/>
    <w:rsid w:val="005B2E3E"/>
    <w:rsid w:val="005B3B46"/>
    <w:rsid w:val="005B6C0C"/>
    <w:rsid w:val="005B7DD7"/>
    <w:rsid w:val="005D4384"/>
    <w:rsid w:val="005E23CD"/>
    <w:rsid w:val="005F2C1C"/>
    <w:rsid w:val="005F54D1"/>
    <w:rsid w:val="00605BDA"/>
    <w:rsid w:val="00611715"/>
    <w:rsid w:val="00626EC0"/>
    <w:rsid w:val="00635D36"/>
    <w:rsid w:val="00650942"/>
    <w:rsid w:val="00651519"/>
    <w:rsid w:val="00657819"/>
    <w:rsid w:val="006633E7"/>
    <w:rsid w:val="006732D1"/>
    <w:rsid w:val="006747DC"/>
    <w:rsid w:val="00683D4F"/>
    <w:rsid w:val="0068663A"/>
    <w:rsid w:val="00691ADB"/>
    <w:rsid w:val="006A1C65"/>
    <w:rsid w:val="006A34F2"/>
    <w:rsid w:val="006B77C5"/>
    <w:rsid w:val="006C0C1A"/>
    <w:rsid w:val="006C7309"/>
    <w:rsid w:val="006D3D62"/>
    <w:rsid w:val="006E019D"/>
    <w:rsid w:val="006E6C68"/>
    <w:rsid w:val="006E6DDD"/>
    <w:rsid w:val="006F2FBE"/>
    <w:rsid w:val="006F549A"/>
    <w:rsid w:val="00701422"/>
    <w:rsid w:val="00713245"/>
    <w:rsid w:val="00721218"/>
    <w:rsid w:val="0072275E"/>
    <w:rsid w:val="00722EFA"/>
    <w:rsid w:val="00733BA4"/>
    <w:rsid w:val="00735A03"/>
    <w:rsid w:val="007370B7"/>
    <w:rsid w:val="00746145"/>
    <w:rsid w:val="007543CC"/>
    <w:rsid w:val="0075442F"/>
    <w:rsid w:val="007561CF"/>
    <w:rsid w:val="00766912"/>
    <w:rsid w:val="00767419"/>
    <w:rsid w:val="00770C0E"/>
    <w:rsid w:val="00786AF8"/>
    <w:rsid w:val="007B147E"/>
    <w:rsid w:val="007C2693"/>
    <w:rsid w:val="007C3450"/>
    <w:rsid w:val="007C6AB3"/>
    <w:rsid w:val="007D013B"/>
    <w:rsid w:val="007E3D5A"/>
    <w:rsid w:val="007F4C04"/>
    <w:rsid w:val="00805905"/>
    <w:rsid w:val="00805E05"/>
    <w:rsid w:val="00806C02"/>
    <w:rsid w:val="00812FFA"/>
    <w:rsid w:val="00824034"/>
    <w:rsid w:val="00834B5E"/>
    <w:rsid w:val="00836363"/>
    <w:rsid w:val="008378DF"/>
    <w:rsid w:val="00844678"/>
    <w:rsid w:val="00847F14"/>
    <w:rsid w:val="008549FA"/>
    <w:rsid w:val="00854FA4"/>
    <w:rsid w:val="00863BC5"/>
    <w:rsid w:val="00864595"/>
    <w:rsid w:val="008654B2"/>
    <w:rsid w:val="008671D8"/>
    <w:rsid w:val="00870701"/>
    <w:rsid w:val="00870B99"/>
    <w:rsid w:val="008748B9"/>
    <w:rsid w:val="008752F0"/>
    <w:rsid w:val="008818DE"/>
    <w:rsid w:val="00885F8D"/>
    <w:rsid w:val="00886975"/>
    <w:rsid w:val="008B31B6"/>
    <w:rsid w:val="008E1F5E"/>
    <w:rsid w:val="008E69BD"/>
    <w:rsid w:val="0090538A"/>
    <w:rsid w:val="00905B17"/>
    <w:rsid w:val="009075FA"/>
    <w:rsid w:val="00907BA9"/>
    <w:rsid w:val="00913971"/>
    <w:rsid w:val="00921ADB"/>
    <w:rsid w:val="009237DF"/>
    <w:rsid w:val="00930542"/>
    <w:rsid w:val="00933E3F"/>
    <w:rsid w:val="00934EF9"/>
    <w:rsid w:val="0094005C"/>
    <w:rsid w:val="00944BBB"/>
    <w:rsid w:val="009473EE"/>
    <w:rsid w:val="009476B6"/>
    <w:rsid w:val="00955B83"/>
    <w:rsid w:val="0096081A"/>
    <w:rsid w:val="009866A9"/>
    <w:rsid w:val="00986D2E"/>
    <w:rsid w:val="00987314"/>
    <w:rsid w:val="00992621"/>
    <w:rsid w:val="00992F51"/>
    <w:rsid w:val="009A5CBD"/>
    <w:rsid w:val="009C1D3D"/>
    <w:rsid w:val="009D4C1D"/>
    <w:rsid w:val="009E50BC"/>
    <w:rsid w:val="00A123D4"/>
    <w:rsid w:val="00A3092D"/>
    <w:rsid w:val="00A34488"/>
    <w:rsid w:val="00A41ABD"/>
    <w:rsid w:val="00A42F09"/>
    <w:rsid w:val="00A46667"/>
    <w:rsid w:val="00A553E0"/>
    <w:rsid w:val="00A623EA"/>
    <w:rsid w:val="00A64FBB"/>
    <w:rsid w:val="00A72201"/>
    <w:rsid w:val="00A76170"/>
    <w:rsid w:val="00A847A5"/>
    <w:rsid w:val="00AB23CD"/>
    <w:rsid w:val="00AB3A7A"/>
    <w:rsid w:val="00AC0542"/>
    <w:rsid w:val="00AC5DFB"/>
    <w:rsid w:val="00AD024A"/>
    <w:rsid w:val="00AE0177"/>
    <w:rsid w:val="00AE6646"/>
    <w:rsid w:val="00AE7E4D"/>
    <w:rsid w:val="00B00586"/>
    <w:rsid w:val="00B04164"/>
    <w:rsid w:val="00B064BB"/>
    <w:rsid w:val="00B06A5F"/>
    <w:rsid w:val="00B0750D"/>
    <w:rsid w:val="00B1247A"/>
    <w:rsid w:val="00B1439E"/>
    <w:rsid w:val="00B16E50"/>
    <w:rsid w:val="00B179D6"/>
    <w:rsid w:val="00B17D56"/>
    <w:rsid w:val="00B26C61"/>
    <w:rsid w:val="00B3232D"/>
    <w:rsid w:val="00B50FCF"/>
    <w:rsid w:val="00B7117A"/>
    <w:rsid w:val="00B758BD"/>
    <w:rsid w:val="00B81D7A"/>
    <w:rsid w:val="00B860E9"/>
    <w:rsid w:val="00B86ECE"/>
    <w:rsid w:val="00BA687B"/>
    <w:rsid w:val="00BA6DDA"/>
    <w:rsid w:val="00BB282A"/>
    <w:rsid w:val="00BB72BB"/>
    <w:rsid w:val="00BC7E9D"/>
    <w:rsid w:val="00BE7BCF"/>
    <w:rsid w:val="00C0230B"/>
    <w:rsid w:val="00C02AB0"/>
    <w:rsid w:val="00C035BB"/>
    <w:rsid w:val="00C04BDD"/>
    <w:rsid w:val="00C07B37"/>
    <w:rsid w:val="00C10317"/>
    <w:rsid w:val="00C24B66"/>
    <w:rsid w:val="00C31506"/>
    <w:rsid w:val="00C438C2"/>
    <w:rsid w:val="00C43EF6"/>
    <w:rsid w:val="00C46B97"/>
    <w:rsid w:val="00C47D68"/>
    <w:rsid w:val="00C55789"/>
    <w:rsid w:val="00C57766"/>
    <w:rsid w:val="00C61089"/>
    <w:rsid w:val="00C637B1"/>
    <w:rsid w:val="00C713A5"/>
    <w:rsid w:val="00C973CD"/>
    <w:rsid w:val="00CA51E4"/>
    <w:rsid w:val="00CA6642"/>
    <w:rsid w:val="00CB2491"/>
    <w:rsid w:val="00CC0088"/>
    <w:rsid w:val="00CC08EE"/>
    <w:rsid w:val="00CD3F47"/>
    <w:rsid w:val="00CE27C0"/>
    <w:rsid w:val="00CF604E"/>
    <w:rsid w:val="00CF6099"/>
    <w:rsid w:val="00D05634"/>
    <w:rsid w:val="00D05C43"/>
    <w:rsid w:val="00D11325"/>
    <w:rsid w:val="00D113D5"/>
    <w:rsid w:val="00D20A54"/>
    <w:rsid w:val="00D22994"/>
    <w:rsid w:val="00D25995"/>
    <w:rsid w:val="00D271C6"/>
    <w:rsid w:val="00D30990"/>
    <w:rsid w:val="00D35352"/>
    <w:rsid w:val="00D35E98"/>
    <w:rsid w:val="00D37EA4"/>
    <w:rsid w:val="00D44858"/>
    <w:rsid w:val="00D476F9"/>
    <w:rsid w:val="00D52168"/>
    <w:rsid w:val="00D5406F"/>
    <w:rsid w:val="00D56896"/>
    <w:rsid w:val="00D57D21"/>
    <w:rsid w:val="00D61B21"/>
    <w:rsid w:val="00D80844"/>
    <w:rsid w:val="00D81085"/>
    <w:rsid w:val="00D861B7"/>
    <w:rsid w:val="00D90943"/>
    <w:rsid w:val="00D92775"/>
    <w:rsid w:val="00D96A2D"/>
    <w:rsid w:val="00DB68FE"/>
    <w:rsid w:val="00DC0C50"/>
    <w:rsid w:val="00DC0EBF"/>
    <w:rsid w:val="00DD23DD"/>
    <w:rsid w:val="00DD6987"/>
    <w:rsid w:val="00DD77B5"/>
    <w:rsid w:val="00DE4331"/>
    <w:rsid w:val="00DF2E7E"/>
    <w:rsid w:val="00DF433E"/>
    <w:rsid w:val="00E032A1"/>
    <w:rsid w:val="00E063DE"/>
    <w:rsid w:val="00E1480D"/>
    <w:rsid w:val="00E1549C"/>
    <w:rsid w:val="00E17563"/>
    <w:rsid w:val="00E2223C"/>
    <w:rsid w:val="00E24CEA"/>
    <w:rsid w:val="00E33977"/>
    <w:rsid w:val="00E445E2"/>
    <w:rsid w:val="00E57F01"/>
    <w:rsid w:val="00E71205"/>
    <w:rsid w:val="00E72064"/>
    <w:rsid w:val="00E76148"/>
    <w:rsid w:val="00E775CC"/>
    <w:rsid w:val="00E804D0"/>
    <w:rsid w:val="00E87BC9"/>
    <w:rsid w:val="00EA063E"/>
    <w:rsid w:val="00EB0BB0"/>
    <w:rsid w:val="00EB1DB4"/>
    <w:rsid w:val="00EB5804"/>
    <w:rsid w:val="00EB618D"/>
    <w:rsid w:val="00EC0A05"/>
    <w:rsid w:val="00EC27B6"/>
    <w:rsid w:val="00EC2829"/>
    <w:rsid w:val="00ED187B"/>
    <w:rsid w:val="00ED476D"/>
    <w:rsid w:val="00EE3D20"/>
    <w:rsid w:val="00EE3F21"/>
    <w:rsid w:val="00EE4F3D"/>
    <w:rsid w:val="00EF3B42"/>
    <w:rsid w:val="00F0673C"/>
    <w:rsid w:val="00F23713"/>
    <w:rsid w:val="00F3045A"/>
    <w:rsid w:val="00F30F56"/>
    <w:rsid w:val="00F341BA"/>
    <w:rsid w:val="00F41093"/>
    <w:rsid w:val="00F41587"/>
    <w:rsid w:val="00F41756"/>
    <w:rsid w:val="00F53474"/>
    <w:rsid w:val="00F6676C"/>
    <w:rsid w:val="00F67E05"/>
    <w:rsid w:val="00F762D7"/>
    <w:rsid w:val="00F76862"/>
    <w:rsid w:val="00F81F1B"/>
    <w:rsid w:val="00F84552"/>
    <w:rsid w:val="00F867F3"/>
    <w:rsid w:val="00F93254"/>
    <w:rsid w:val="00F9454C"/>
    <w:rsid w:val="00FA653A"/>
    <w:rsid w:val="00FB13FB"/>
    <w:rsid w:val="00FB1917"/>
    <w:rsid w:val="00FB2A51"/>
    <w:rsid w:val="00FB3C1D"/>
    <w:rsid w:val="00FC7DF3"/>
    <w:rsid w:val="00FD1AFC"/>
    <w:rsid w:val="00FE63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216"/>
    <w:pPr>
      <w:spacing w:after="180"/>
    </w:pPr>
    <w:rPr>
      <w:rFonts w:ascii="Arial" w:hAnsi="Arial" w:cs="Arial"/>
      <w:sz w:val="24"/>
      <w:szCs w:val="24"/>
    </w:rPr>
  </w:style>
  <w:style w:type="paragraph" w:styleId="Heading1">
    <w:name w:val="heading 1"/>
    <w:basedOn w:val="Normal"/>
    <w:next w:val="Normal"/>
    <w:link w:val="Heading1Char"/>
    <w:uiPriority w:val="9"/>
    <w:qFormat/>
    <w:rsid w:val="00987314"/>
    <w:pPr>
      <w:keepNext/>
      <w:keepLines/>
      <w:numPr>
        <w:numId w:val="5"/>
      </w:numPr>
      <w:spacing w:before="480" w:after="120"/>
      <w:outlineLvl w:val="0"/>
    </w:pPr>
    <w:rPr>
      <w:rFonts w:eastAsiaTheme="majorEastAsia" w:cstheme="minorHAnsi"/>
      <w:b/>
      <w:bCs/>
      <w:sz w:val="28"/>
      <w:szCs w:val="28"/>
    </w:rPr>
  </w:style>
  <w:style w:type="paragraph" w:styleId="Heading2">
    <w:name w:val="heading 2"/>
    <w:basedOn w:val="Normal"/>
    <w:next w:val="Normal"/>
    <w:link w:val="Heading2Char"/>
    <w:uiPriority w:val="9"/>
    <w:unhideWhenUsed/>
    <w:qFormat/>
    <w:rsid w:val="00442DA4"/>
    <w:pPr>
      <w:keepNext/>
      <w:keepLines/>
      <w:numPr>
        <w:ilvl w:val="1"/>
        <w:numId w:val="5"/>
      </w:numPr>
      <w:spacing w:before="200" w:after="120"/>
      <w:ind w:left="540" w:hanging="540"/>
      <w:outlineLvl w:val="1"/>
    </w:pPr>
    <w:rPr>
      <w:rFonts w:eastAsiaTheme="majorEastAsia" w:cstheme="minorHAnsi"/>
      <w:b/>
      <w:bCs/>
    </w:rPr>
  </w:style>
  <w:style w:type="paragraph" w:styleId="Heading3">
    <w:name w:val="heading 3"/>
    <w:basedOn w:val="Normal"/>
    <w:next w:val="Normal"/>
    <w:link w:val="Heading3Char"/>
    <w:uiPriority w:val="9"/>
    <w:unhideWhenUsed/>
    <w:qFormat/>
    <w:rsid w:val="00147994"/>
    <w:pPr>
      <w:keepNext/>
      <w:keepLines/>
      <w:numPr>
        <w:ilvl w:val="2"/>
        <w:numId w:val="5"/>
      </w:numPr>
      <w:spacing w:before="240" w:after="120"/>
      <w:ind w:left="1094" w:hanging="547"/>
      <w:outlineLvl w:val="2"/>
    </w:pPr>
    <w:rPr>
      <w:rFonts w:eastAsiaTheme="majorEastAsia" w:cstheme="minorHAnsi"/>
      <w:bCs/>
    </w:rPr>
  </w:style>
  <w:style w:type="paragraph" w:styleId="Heading4">
    <w:name w:val="heading 4"/>
    <w:basedOn w:val="Normal"/>
    <w:next w:val="Normal"/>
    <w:link w:val="Heading4Char"/>
    <w:uiPriority w:val="9"/>
    <w:unhideWhenUsed/>
    <w:qFormat/>
    <w:rsid w:val="00D22994"/>
    <w:pPr>
      <w:keepNext/>
      <w:keepLines/>
      <w:spacing w:before="200" w:after="0"/>
      <w:outlineLvl w:val="3"/>
    </w:pPr>
    <w:rPr>
      <w:rFonts w:eastAsiaTheme="majorEastAsia"/>
      <w:b/>
      <w:bCs/>
      <w:iCs/>
      <w:sz w:val="40"/>
      <w:szCs w:val="40"/>
    </w:rPr>
  </w:style>
  <w:style w:type="paragraph" w:styleId="Heading5">
    <w:name w:val="heading 5"/>
    <w:basedOn w:val="Normal"/>
    <w:next w:val="Normal"/>
    <w:link w:val="Heading5Char"/>
    <w:uiPriority w:val="9"/>
    <w:semiHidden/>
    <w:unhideWhenUsed/>
    <w:qFormat/>
    <w:rsid w:val="00E57F01"/>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57F01"/>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57F01"/>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57F01"/>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57F01"/>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70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52706B"/>
    <w:pPr>
      <w:ind w:left="720"/>
      <w:contextualSpacing/>
    </w:pPr>
  </w:style>
  <w:style w:type="paragraph" w:styleId="Header">
    <w:name w:val="header"/>
    <w:basedOn w:val="Normal"/>
    <w:link w:val="HeaderChar"/>
    <w:uiPriority w:val="99"/>
    <w:unhideWhenUsed/>
    <w:rsid w:val="008549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49FA"/>
  </w:style>
  <w:style w:type="paragraph" w:styleId="Footer">
    <w:name w:val="footer"/>
    <w:basedOn w:val="Normal"/>
    <w:link w:val="FooterChar"/>
    <w:uiPriority w:val="99"/>
    <w:unhideWhenUsed/>
    <w:rsid w:val="008549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49FA"/>
  </w:style>
  <w:style w:type="paragraph" w:styleId="BalloonText">
    <w:name w:val="Balloon Text"/>
    <w:basedOn w:val="Normal"/>
    <w:link w:val="BalloonTextChar"/>
    <w:uiPriority w:val="99"/>
    <w:semiHidden/>
    <w:unhideWhenUsed/>
    <w:rsid w:val="009053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538A"/>
    <w:rPr>
      <w:rFonts w:ascii="Tahoma" w:hAnsi="Tahoma" w:cs="Tahoma"/>
      <w:sz w:val="16"/>
      <w:szCs w:val="16"/>
    </w:rPr>
  </w:style>
  <w:style w:type="character" w:customStyle="1" w:styleId="Heading1Char">
    <w:name w:val="Heading 1 Char"/>
    <w:basedOn w:val="DefaultParagraphFont"/>
    <w:link w:val="Heading1"/>
    <w:uiPriority w:val="9"/>
    <w:rsid w:val="00987314"/>
    <w:rPr>
      <w:rFonts w:eastAsiaTheme="majorEastAsia" w:cstheme="minorHAnsi"/>
      <w:b/>
      <w:bCs/>
      <w:sz w:val="28"/>
      <w:szCs w:val="28"/>
    </w:rPr>
  </w:style>
  <w:style w:type="character" w:customStyle="1" w:styleId="Heading2Char">
    <w:name w:val="Heading 2 Char"/>
    <w:basedOn w:val="DefaultParagraphFont"/>
    <w:link w:val="Heading2"/>
    <w:uiPriority w:val="9"/>
    <w:rsid w:val="00442DA4"/>
    <w:rPr>
      <w:rFonts w:eastAsiaTheme="majorEastAsia" w:cstheme="minorHAnsi"/>
      <w:b/>
      <w:bCs/>
      <w:sz w:val="24"/>
      <w:szCs w:val="24"/>
    </w:rPr>
  </w:style>
  <w:style w:type="character" w:customStyle="1" w:styleId="Heading3Char">
    <w:name w:val="Heading 3 Char"/>
    <w:basedOn w:val="DefaultParagraphFont"/>
    <w:link w:val="Heading3"/>
    <w:uiPriority w:val="9"/>
    <w:rsid w:val="00147994"/>
    <w:rPr>
      <w:rFonts w:eastAsiaTheme="majorEastAsia" w:cstheme="minorHAnsi"/>
      <w:bCs/>
    </w:rPr>
  </w:style>
  <w:style w:type="character" w:customStyle="1" w:styleId="Heading4Char">
    <w:name w:val="Heading 4 Char"/>
    <w:basedOn w:val="DefaultParagraphFont"/>
    <w:link w:val="Heading4"/>
    <w:uiPriority w:val="9"/>
    <w:rsid w:val="00D22994"/>
    <w:rPr>
      <w:rFonts w:ascii="Arial" w:eastAsiaTheme="majorEastAsia" w:hAnsi="Arial" w:cs="Arial"/>
      <w:b/>
      <w:bCs/>
      <w:iCs/>
      <w:sz w:val="40"/>
      <w:szCs w:val="40"/>
    </w:rPr>
  </w:style>
  <w:style w:type="character" w:customStyle="1" w:styleId="Heading5Char">
    <w:name w:val="Heading 5 Char"/>
    <w:basedOn w:val="DefaultParagraphFont"/>
    <w:link w:val="Heading5"/>
    <w:uiPriority w:val="9"/>
    <w:semiHidden/>
    <w:rsid w:val="00E57F0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57F0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57F0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57F0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57F01"/>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245C06"/>
    <w:pPr>
      <w:numPr>
        <w:numId w:val="0"/>
      </w:numPr>
      <w:spacing w:before="240"/>
      <w:outlineLvl w:val="9"/>
    </w:pPr>
    <w:rPr>
      <w:rFonts w:cs="Arial"/>
      <w:color w:val="365F91" w:themeColor="accent1" w:themeShade="BF"/>
    </w:rPr>
  </w:style>
  <w:style w:type="paragraph" w:styleId="TOC1">
    <w:name w:val="toc 1"/>
    <w:basedOn w:val="Normal"/>
    <w:next w:val="Normal"/>
    <w:autoRedefine/>
    <w:uiPriority w:val="39"/>
    <w:unhideWhenUsed/>
    <w:rsid w:val="002F19E0"/>
    <w:pPr>
      <w:tabs>
        <w:tab w:val="left" w:pos="440"/>
        <w:tab w:val="right" w:leader="dot" w:pos="9350"/>
      </w:tabs>
      <w:spacing w:before="120" w:after="120" w:line="240" w:lineRule="auto"/>
      <w:ind w:left="990" w:hanging="990"/>
    </w:pPr>
    <w:rPr>
      <w:noProof/>
    </w:rPr>
  </w:style>
  <w:style w:type="paragraph" w:styleId="TOC2">
    <w:name w:val="toc 2"/>
    <w:basedOn w:val="Normal"/>
    <w:next w:val="Normal"/>
    <w:autoRedefine/>
    <w:uiPriority w:val="39"/>
    <w:unhideWhenUsed/>
    <w:rsid w:val="002C5333"/>
    <w:pPr>
      <w:tabs>
        <w:tab w:val="left" w:pos="880"/>
        <w:tab w:val="right" w:leader="dot" w:pos="9350"/>
      </w:tabs>
      <w:spacing w:after="120" w:line="240" w:lineRule="auto"/>
      <w:ind w:left="446"/>
    </w:pPr>
    <w:rPr>
      <w:noProof/>
    </w:rPr>
  </w:style>
  <w:style w:type="paragraph" w:styleId="TOC3">
    <w:name w:val="toc 3"/>
    <w:basedOn w:val="Normal"/>
    <w:next w:val="Normal"/>
    <w:autoRedefine/>
    <w:uiPriority w:val="39"/>
    <w:unhideWhenUsed/>
    <w:rsid w:val="00442DA4"/>
    <w:pPr>
      <w:spacing w:after="100"/>
      <w:ind w:left="440"/>
    </w:pPr>
  </w:style>
  <w:style w:type="character" w:styleId="Hyperlink">
    <w:name w:val="Hyperlink"/>
    <w:basedOn w:val="DefaultParagraphFont"/>
    <w:uiPriority w:val="99"/>
    <w:unhideWhenUsed/>
    <w:rsid w:val="00442DA4"/>
    <w:rPr>
      <w:color w:val="0000FF" w:themeColor="hyperlink"/>
      <w:u w:val="single"/>
    </w:rPr>
  </w:style>
  <w:style w:type="paragraph" w:styleId="Caption">
    <w:name w:val="caption"/>
    <w:basedOn w:val="Normal"/>
    <w:next w:val="Normal"/>
    <w:uiPriority w:val="35"/>
    <w:unhideWhenUsed/>
    <w:qFormat/>
    <w:rsid w:val="00095FD6"/>
    <w:pPr>
      <w:keepNext/>
      <w:spacing w:before="240" w:line="240" w:lineRule="auto"/>
      <w:contextualSpacing/>
      <w:jc w:val="center"/>
    </w:pPr>
    <w:rPr>
      <w:b/>
      <w:bCs/>
    </w:rPr>
  </w:style>
  <w:style w:type="character" w:styleId="CommentReference">
    <w:name w:val="annotation reference"/>
    <w:basedOn w:val="DefaultParagraphFont"/>
    <w:uiPriority w:val="99"/>
    <w:semiHidden/>
    <w:unhideWhenUsed/>
    <w:rsid w:val="002A7129"/>
    <w:rPr>
      <w:sz w:val="16"/>
      <w:szCs w:val="16"/>
    </w:rPr>
  </w:style>
  <w:style w:type="paragraph" w:styleId="CommentText">
    <w:name w:val="annotation text"/>
    <w:basedOn w:val="Normal"/>
    <w:link w:val="CommentTextChar"/>
    <w:uiPriority w:val="99"/>
    <w:semiHidden/>
    <w:unhideWhenUsed/>
    <w:rsid w:val="002A7129"/>
    <w:pPr>
      <w:spacing w:line="240" w:lineRule="auto"/>
    </w:pPr>
    <w:rPr>
      <w:sz w:val="20"/>
      <w:szCs w:val="20"/>
    </w:rPr>
  </w:style>
  <w:style w:type="character" w:customStyle="1" w:styleId="CommentTextChar">
    <w:name w:val="Comment Text Char"/>
    <w:basedOn w:val="DefaultParagraphFont"/>
    <w:link w:val="CommentText"/>
    <w:uiPriority w:val="99"/>
    <w:semiHidden/>
    <w:rsid w:val="002A7129"/>
    <w:rPr>
      <w:sz w:val="20"/>
      <w:szCs w:val="20"/>
    </w:rPr>
  </w:style>
  <w:style w:type="paragraph" w:styleId="CommentSubject">
    <w:name w:val="annotation subject"/>
    <w:basedOn w:val="CommentText"/>
    <w:next w:val="CommentText"/>
    <w:link w:val="CommentSubjectChar"/>
    <w:uiPriority w:val="99"/>
    <w:semiHidden/>
    <w:unhideWhenUsed/>
    <w:rsid w:val="002A7129"/>
    <w:rPr>
      <w:b/>
      <w:bCs/>
    </w:rPr>
  </w:style>
  <w:style w:type="character" w:customStyle="1" w:styleId="CommentSubjectChar">
    <w:name w:val="Comment Subject Char"/>
    <w:basedOn w:val="CommentTextChar"/>
    <w:link w:val="CommentSubject"/>
    <w:uiPriority w:val="99"/>
    <w:semiHidden/>
    <w:rsid w:val="002A7129"/>
    <w:rPr>
      <w:b/>
      <w:bCs/>
      <w:sz w:val="20"/>
      <w:szCs w:val="20"/>
    </w:rPr>
  </w:style>
  <w:style w:type="paragraph" w:styleId="FootnoteText">
    <w:name w:val="footnote text"/>
    <w:basedOn w:val="Normal"/>
    <w:link w:val="FootnoteTextChar"/>
    <w:uiPriority w:val="99"/>
    <w:semiHidden/>
    <w:unhideWhenUsed/>
    <w:rsid w:val="00C5776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7766"/>
    <w:rPr>
      <w:sz w:val="20"/>
      <w:szCs w:val="20"/>
    </w:rPr>
  </w:style>
  <w:style w:type="character" w:styleId="FootnoteReference">
    <w:name w:val="footnote reference"/>
    <w:basedOn w:val="DefaultParagraphFont"/>
    <w:uiPriority w:val="99"/>
    <w:semiHidden/>
    <w:unhideWhenUsed/>
    <w:rsid w:val="00C57766"/>
    <w:rPr>
      <w:vertAlign w:val="superscript"/>
    </w:rPr>
  </w:style>
  <w:style w:type="paragraph" w:customStyle="1" w:styleId="bullet">
    <w:name w:val="bullet"/>
    <w:basedOn w:val="ListParagraph"/>
    <w:link w:val="bulletChar"/>
    <w:qFormat/>
    <w:rsid w:val="001D0E30"/>
    <w:pPr>
      <w:numPr>
        <w:numId w:val="27"/>
      </w:numPr>
      <w:spacing w:after="120"/>
      <w:ind w:left="720"/>
      <w:contextualSpacing w:val="0"/>
    </w:pPr>
  </w:style>
  <w:style w:type="paragraph" w:customStyle="1" w:styleId="outofbullet">
    <w:name w:val="out of bullet"/>
    <w:basedOn w:val="ListParagraph"/>
    <w:link w:val="outofbulletChar"/>
    <w:rsid w:val="00D30990"/>
  </w:style>
  <w:style w:type="character" w:customStyle="1" w:styleId="ListParagraphChar">
    <w:name w:val="List Paragraph Char"/>
    <w:basedOn w:val="DefaultParagraphFont"/>
    <w:link w:val="ListParagraph"/>
    <w:uiPriority w:val="34"/>
    <w:rsid w:val="00D30990"/>
    <w:rPr>
      <w:rFonts w:ascii="Arial" w:hAnsi="Arial" w:cs="Arial"/>
      <w:sz w:val="24"/>
      <w:szCs w:val="24"/>
    </w:rPr>
  </w:style>
  <w:style w:type="character" w:customStyle="1" w:styleId="bulletChar">
    <w:name w:val="bullet Char"/>
    <w:basedOn w:val="ListParagraphChar"/>
    <w:link w:val="bullet"/>
    <w:rsid w:val="001D0E30"/>
  </w:style>
  <w:style w:type="paragraph" w:customStyle="1" w:styleId="outofbullet2">
    <w:name w:val="out of bullet2"/>
    <w:basedOn w:val="bullet"/>
    <w:link w:val="outofbullet2Char"/>
    <w:qFormat/>
    <w:rsid w:val="00D30990"/>
    <w:pPr>
      <w:spacing w:after="240"/>
    </w:pPr>
  </w:style>
  <w:style w:type="character" w:customStyle="1" w:styleId="outofbulletChar">
    <w:name w:val="out of bullet Char"/>
    <w:basedOn w:val="ListParagraphChar"/>
    <w:link w:val="outofbullet"/>
    <w:rsid w:val="00D30990"/>
  </w:style>
  <w:style w:type="paragraph" w:customStyle="1" w:styleId="Tablelist">
    <w:name w:val="Table list"/>
    <w:basedOn w:val="Normal"/>
    <w:qFormat/>
    <w:rsid w:val="00095FD6"/>
    <w:pPr>
      <w:keepNext/>
      <w:spacing w:before="60" w:after="60" w:line="240" w:lineRule="auto"/>
    </w:pPr>
    <w:rPr>
      <w:sz w:val="22"/>
      <w:szCs w:val="22"/>
    </w:rPr>
  </w:style>
  <w:style w:type="character" w:customStyle="1" w:styleId="outofbullet2Char">
    <w:name w:val="out of bullet2 Char"/>
    <w:basedOn w:val="bulletChar"/>
    <w:link w:val="outofbullet2"/>
    <w:rsid w:val="00D30990"/>
  </w:style>
  <w:style w:type="paragraph" w:styleId="NormalWeb">
    <w:name w:val="Normal (Web)"/>
    <w:basedOn w:val="Normal"/>
    <w:uiPriority w:val="99"/>
    <w:unhideWhenUsed/>
    <w:rsid w:val="00133F08"/>
    <w:pPr>
      <w:spacing w:before="100" w:beforeAutospacing="1" w:after="100" w:afterAutospacing="1" w:line="240" w:lineRule="auto"/>
    </w:pPr>
    <w:rPr>
      <w:rFonts w:ascii="Times New Roman" w:eastAsia="Times New Roman" w:hAnsi="Times New Roman" w:cs="Times New Roman"/>
      <w:lang w:val="en-US" w:eastAsia="en-US"/>
    </w:rPr>
  </w:style>
  <w:style w:type="paragraph" w:styleId="TOC4">
    <w:name w:val="toc 4"/>
    <w:basedOn w:val="Normal"/>
    <w:next w:val="Normal"/>
    <w:autoRedefine/>
    <w:uiPriority w:val="39"/>
    <w:unhideWhenUsed/>
    <w:rsid w:val="00245C06"/>
    <w:pPr>
      <w:spacing w:after="100"/>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7F01"/>
    <w:pPr>
      <w:keepNext/>
      <w:keepLines/>
      <w:numPr>
        <w:numId w:val="5"/>
      </w:numPr>
      <w:spacing w:before="480" w:after="0"/>
      <w:outlineLvl w:val="0"/>
    </w:pPr>
    <w:rPr>
      <w:rFonts w:eastAsiaTheme="majorEastAsia" w:cstheme="minorHAnsi"/>
      <w:b/>
      <w:bCs/>
      <w:sz w:val="28"/>
      <w:szCs w:val="28"/>
    </w:rPr>
  </w:style>
  <w:style w:type="paragraph" w:styleId="Heading2">
    <w:name w:val="heading 2"/>
    <w:basedOn w:val="Normal"/>
    <w:next w:val="Normal"/>
    <w:link w:val="Heading2Char"/>
    <w:uiPriority w:val="9"/>
    <w:unhideWhenUsed/>
    <w:qFormat/>
    <w:rsid w:val="00442DA4"/>
    <w:pPr>
      <w:keepNext/>
      <w:keepLines/>
      <w:numPr>
        <w:ilvl w:val="1"/>
        <w:numId w:val="5"/>
      </w:numPr>
      <w:spacing w:before="200" w:after="120"/>
      <w:ind w:left="540" w:hanging="540"/>
      <w:outlineLvl w:val="1"/>
    </w:pPr>
    <w:rPr>
      <w:rFonts w:eastAsiaTheme="majorEastAsia" w:cstheme="minorHAnsi"/>
      <w:b/>
      <w:bCs/>
      <w:sz w:val="24"/>
      <w:szCs w:val="24"/>
    </w:rPr>
  </w:style>
  <w:style w:type="paragraph" w:styleId="Heading3">
    <w:name w:val="heading 3"/>
    <w:basedOn w:val="Normal"/>
    <w:next w:val="Normal"/>
    <w:link w:val="Heading3Char"/>
    <w:uiPriority w:val="9"/>
    <w:unhideWhenUsed/>
    <w:qFormat/>
    <w:rsid w:val="00147994"/>
    <w:pPr>
      <w:keepNext/>
      <w:keepLines/>
      <w:numPr>
        <w:ilvl w:val="2"/>
        <w:numId w:val="5"/>
      </w:numPr>
      <w:spacing w:before="240" w:after="120"/>
      <w:ind w:left="1094" w:hanging="547"/>
      <w:outlineLvl w:val="2"/>
    </w:pPr>
    <w:rPr>
      <w:rFonts w:eastAsiaTheme="majorEastAsia" w:cstheme="minorHAnsi"/>
      <w:bCs/>
    </w:rPr>
  </w:style>
  <w:style w:type="paragraph" w:styleId="Heading4">
    <w:name w:val="heading 4"/>
    <w:basedOn w:val="Normal"/>
    <w:next w:val="Normal"/>
    <w:link w:val="Heading4Char"/>
    <w:uiPriority w:val="9"/>
    <w:semiHidden/>
    <w:unhideWhenUsed/>
    <w:qFormat/>
    <w:rsid w:val="00E57F01"/>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57F01"/>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57F01"/>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57F01"/>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57F01"/>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57F01"/>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70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706B"/>
    <w:pPr>
      <w:ind w:left="720"/>
      <w:contextualSpacing/>
    </w:pPr>
  </w:style>
  <w:style w:type="paragraph" w:styleId="Header">
    <w:name w:val="header"/>
    <w:basedOn w:val="Normal"/>
    <w:link w:val="HeaderChar"/>
    <w:uiPriority w:val="99"/>
    <w:unhideWhenUsed/>
    <w:rsid w:val="008549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49FA"/>
  </w:style>
  <w:style w:type="paragraph" w:styleId="Footer">
    <w:name w:val="footer"/>
    <w:basedOn w:val="Normal"/>
    <w:link w:val="FooterChar"/>
    <w:uiPriority w:val="99"/>
    <w:unhideWhenUsed/>
    <w:rsid w:val="008549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49FA"/>
  </w:style>
  <w:style w:type="paragraph" w:styleId="BalloonText">
    <w:name w:val="Balloon Text"/>
    <w:basedOn w:val="Normal"/>
    <w:link w:val="BalloonTextChar"/>
    <w:uiPriority w:val="99"/>
    <w:semiHidden/>
    <w:unhideWhenUsed/>
    <w:rsid w:val="009053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538A"/>
    <w:rPr>
      <w:rFonts w:ascii="Tahoma" w:hAnsi="Tahoma" w:cs="Tahoma"/>
      <w:sz w:val="16"/>
      <w:szCs w:val="16"/>
    </w:rPr>
  </w:style>
  <w:style w:type="character" w:customStyle="1" w:styleId="Heading1Char">
    <w:name w:val="Heading 1 Char"/>
    <w:basedOn w:val="DefaultParagraphFont"/>
    <w:link w:val="Heading1"/>
    <w:uiPriority w:val="9"/>
    <w:rsid w:val="00E57F01"/>
    <w:rPr>
      <w:rFonts w:eastAsiaTheme="majorEastAsia" w:cstheme="minorHAnsi"/>
      <w:b/>
      <w:bCs/>
      <w:sz w:val="28"/>
      <w:szCs w:val="28"/>
    </w:rPr>
  </w:style>
  <w:style w:type="character" w:customStyle="1" w:styleId="Heading2Char">
    <w:name w:val="Heading 2 Char"/>
    <w:basedOn w:val="DefaultParagraphFont"/>
    <w:link w:val="Heading2"/>
    <w:uiPriority w:val="9"/>
    <w:rsid w:val="00442DA4"/>
    <w:rPr>
      <w:rFonts w:eastAsiaTheme="majorEastAsia" w:cstheme="minorHAnsi"/>
      <w:b/>
      <w:bCs/>
      <w:sz w:val="24"/>
      <w:szCs w:val="24"/>
    </w:rPr>
  </w:style>
  <w:style w:type="character" w:customStyle="1" w:styleId="Heading3Char">
    <w:name w:val="Heading 3 Char"/>
    <w:basedOn w:val="DefaultParagraphFont"/>
    <w:link w:val="Heading3"/>
    <w:uiPriority w:val="9"/>
    <w:rsid w:val="00147994"/>
    <w:rPr>
      <w:rFonts w:eastAsiaTheme="majorEastAsia" w:cstheme="minorHAnsi"/>
      <w:bCs/>
    </w:rPr>
  </w:style>
  <w:style w:type="character" w:customStyle="1" w:styleId="Heading4Char">
    <w:name w:val="Heading 4 Char"/>
    <w:basedOn w:val="DefaultParagraphFont"/>
    <w:link w:val="Heading4"/>
    <w:uiPriority w:val="9"/>
    <w:semiHidden/>
    <w:rsid w:val="00E57F0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57F0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57F0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57F0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57F0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57F01"/>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semiHidden/>
    <w:unhideWhenUsed/>
    <w:qFormat/>
    <w:rsid w:val="00442DA4"/>
    <w:pPr>
      <w:numPr>
        <w:numId w:val="0"/>
      </w:numPr>
      <w:outlineLvl w:val="9"/>
    </w:pPr>
    <w:rPr>
      <w:rFonts w:asciiTheme="majorHAnsi" w:hAnsiTheme="majorHAnsi" w:cstheme="majorBidi"/>
      <w:color w:val="365F91" w:themeColor="accent1" w:themeShade="BF"/>
    </w:rPr>
  </w:style>
  <w:style w:type="paragraph" w:styleId="TOC1">
    <w:name w:val="toc 1"/>
    <w:basedOn w:val="Normal"/>
    <w:next w:val="Normal"/>
    <w:autoRedefine/>
    <w:uiPriority w:val="39"/>
    <w:unhideWhenUsed/>
    <w:rsid w:val="00442DA4"/>
    <w:pPr>
      <w:spacing w:after="100"/>
    </w:pPr>
  </w:style>
  <w:style w:type="paragraph" w:styleId="TOC2">
    <w:name w:val="toc 2"/>
    <w:basedOn w:val="Normal"/>
    <w:next w:val="Normal"/>
    <w:autoRedefine/>
    <w:uiPriority w:val="39"/>
    <w:unhideWhenUsed/>
    <w:rsid w:val="00442DA4"/>
    <w:pPr>
      <w:spacing w:after="100"/>
      <w:ind w:left="220"/>
    </w:pPr>
  </w:style>
  <w:style w:type="paragraph" w:styleId="TOC3">
    <w:name w:val="toc 3"/>
    <w:basedOn w:val="Normal"/>
    <w:next w:val="Normal"/>
    <w:autoRedefine/>
    <w:uiPriority w:val="39"/>
    <w:unhideWhenUsed/>
    <w:rsid w:val="00442DA4"/>
    <w:pPr>
      <w:spacing w:after="100"/>
      <w:ind w:left="440"/>
    </w:pPr>
  </w:style>
  <w:style w:type="character" w:styleId="Hyperlink">
    <w:name w:val="Hyperlink"/>
    <w:basedOn w:val="DefaultParagraphFont"/>
    <w:uiPriority w:val="99"/>
    <w:unhideWhenUsed/>
    <w:rsid w:val="00442DA4"/>
    <w:rPr>
      <w:color w:val="0000FF" w:themeColor="hyperlink"/>
      <w:u w:val="single"/>
    </w:rPr>
  </w:style>
  <w:style w:type="paragraph" w:styleId="Caption">
    <w:name w:val="caption"/>
    <w:basedOn w:val="Normal"/>
    <w:next w:val="Normal"/>
    <w:uiPriority w:val="35"/>
    <w:unhideWhenUsed/>
    <w:qFormat/>
    <w:rsid w:val="00E76148"/>
    <w:pPr>
      <w:spacing w:line="240" w:lineRule="auto"/>
      <w:jc w:val="center"/>
    </w:pPr>
    <w:rPr>
      <w:b/>
      <w:bCs/>
    </w:rPr>
  </w:style>
  <w:style w:type="character" w:styleId="CommentReference">
    <w:name w:val="annotation reference"/>
    <w:basedOn w:val="DefaultParagraphFont"/>
    <w:uiPriority w:val="99"/>
    <w:semiHidden/>
    <w:unhideWhenUsed/>
    <w:rsid w:val="002A7129"/>
    <w:rPr>
      <w:sz w:val="16"/>
      <w:szCs w:val="16"/>
    </w:rPr>
  </w:style>
  <w:style w:type="paragraph" w:styleId="CommentText">
    <w:name w:val="annotation text"/>
    <w:basedOn w:val="Normal"/>
    <w:link w:val="CommentTextChar"/>
    <w:uiPriority w:val="99"/>
    <w:semiHidden/>
    <w:unhideWhenUsed/>
    <w:rsid w:val="002A7129"/>
    <w:pPr>
      <w:spacing w:line="240" w:lineRule="auto"/>
    </w:pPr>
    <w:rPr>
      <w:sz w:val="20"/>
      <w:szCs w:val="20"/>
    </w:rPr>
  </w:style>
  <w:style w:type="character" w:customStyle="1" w:styleId="CommentTextChar">
    <w:name w:val="Comment Text Char"/>
    <w:basedOn w:val="DefaultParagraphFont"/>
    <w:link w:val="CommentText"/>
    <w:uiPriority w:val="99"/>
    <w:semiHidden/>
    <w:rsid w:val="002A7129"/>
    <w:rPr>
      <w:sz w:val="20"/>
      <w:szCs w:val="20"/>
    </w:rPr>
  </w:style>
  <w:style w:type="paragraph" w:styleId="CommentSubject">
    <w:name w:val="annotation subject"/>
    <w:basedOn w:val="CommentText"/>
    <w:next w:val="CommentText"/>
    <w:link w:val="CommentSubjectChar"/>
    <w:uiPriority w:val="99"/>
    <w:semiHidden/>
    <w:unhideWhenUsed/>
    <w:rsid w:val="002A7129"/>
    <w:rPr>
      <w:b/>
      <w:bCs/>
    </w:rPr>
  </w:style>
  <w:style w:type="character" w:customStyle="1" w:styleId="CommentSubjectChar">
    <w:name w:val="Comment Subject Char"/>
    <w:basedOn w:val="CommentTextChar"/>
    <w:link w:val="CommentSubject"/>
    <w:uiPriority w:val="99"/>
    <w:semiHidden/>
    <w:rsid w:val="002A7129"/>
    <w:rPr>
      <w:b/>
      <w:bCs/>
      <w:sz w:val="20"/>
      <w:szCs w:val="20"/>
    </w:rPr>
  </w:style>
  <w:style w:type="paragraph" w:styleId="FootnoteText">
    <w:name w:val="footnote text"/>
    <w:basedOn w:val="Normal"/>
    <w:link w:val="FootnoteTextChar"/>
    <w:uiPriority w:val="99"/>
    <w:semiHidden/>
    <w:unhideWhenUsed/>
    <w:rsid w:val="00C5776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7766"/>
    <w:rPr>
      <w:sz w:val="20"/>
      <w:szCs w:val="20"/>
    </w:rPr>
  </w:style>
  <w:style w:type="character" w:styleId="FootnoteReference">
    <w:name w:val="footnote reference"/>
    <w:basedOn w:val="DefaultParagraphFont"/>
    <w:uiPriority w:val="99"/>
    <w:semiHidden/>
    <w:unhideWhenUsed/>
    <w:rsid w:val="00C57766"/>
    <w:rPr>
      <w:vertAlign w:val="superscript"/>
    </w:rPr>
  </w:style>
</w:styles>
</file>

<file path=word/webSettings.xml><?xml version="1.0" encoding="utf-8"?>
<w:webSettings xmlns:r="http://schemas.openxmlformats.org/officeDocument/2006/relationships" xmlns:w="http://schemas.openxmlformats.org/wordprocessingml/2006/main">
  <w:divs>
    <w:div w:id="260064633">
      <w:bodyDiv w:val="1"/>
      <w:marLeft w:val="0"/>
      <w:marRight w:val="0"/>
      <w:marTop w:val="0"/>
      <w:marBottom w:val="0"/>
      <w:divBdr>
        <w:top w:val="none" w:sz="0" w:space="0" w:color="auto"/>
        <w:left w:val="none" w:sz="0" w:space="0" w:color="auto"/>
        <w:bottom w:val="none" w:sz="0" w:space="0" w:color="auto"/>
        <w:right w:val="none" w:sz="0" w:space="0" w:color="auto"/>
      </w:divBdr>
    </w:div>
    <w:div w:id="371424773">
      <w:bodyDiv w:val="1"/>
      <w:marLeft w:val="0"/>
      <w:marRight w:val="0"/>
      <w:marTop w:val="0"/>
      <w:marBottom w:val="0"/>
      <w:divBdr>
        <w:top w:val="none" w:sz="0" w:space="0" w:color="auto"/>
        <w:left w:val="none" w:sz="0" w:space="0" w:color="auto"/>
        <w:bottom w:val="none" w:sz="0" w:space="0" w:color="auto"/>
        <w:right w:val="none" w:sz="0" w:space="0" w:color="auto"/>
      </w:divBdr>
    </w:div>
    <w:div w:id="1251811498">
      <w:bodyDiv w:val="1"/>
      <w:marLeft w:val="0"/>
      <w:marRight w:val="0"/>
      <w:marTop w:val="0"/>
      <w:marBottom w:val="0"/>
      <w:divBdr>
        <w:top w:val="none" w:sz="0" w:space="0" w:color="auto"/>
        <w:left w:val="none" w:sz="0" w:space="0" w:color="auto"/>
        <w:bottom w:val="none" w:sz="0" w:space="0" w:color="auto"/>
        <w:right w:val="none" w:sz="0" w:space="0" w:color="auto"/>
      </w:divBdr>
    </w:div>
    <w:div w:id="1319580841">
      <w:bodyDiv w:val="1"/>
      <w:marLeft w:val="0"/>
      <w:marRight w:val="0"/>
      <w:marTop w:val="0"/>
      <w:marBottom w:val="0"/>
      <w:divBdr>
        <w:top w:val="none" w:sz="0" w:space="0" w:color="auto"/>
        <w:left w:val="none" w:sz="0" w:space="0" w:color="auto"/>
        <w:bottom w:val="none" w:sz="0" w:space="0" w:color="auto"/>
        <w:right w:val="none" w:sz="0" w:space="0" w:color="auto"/>
      </w:divBdr>
    </w:div>
    <w:div w:id="1527133620">
      <w:bodyDiv w:val="1"/>
      <w:marLeft w:val="0"/>
      <w:marRight w:val="0"/>
      <w:marTop w:val="0"/>
      <w:marBottom w:val="0"/>
      <w:divBdr>
        <w:top w:val="none" w:sz="0" w:space="0" w:color="auto"/>
        <w:left w:val="none" w:sz="0" w:space="0" w:color="auto"/>
        <w:bottom w:val="none" w:sz="0" w:space="0" w:color="auto"/>
        <w:right w:val="none" w:sz="0" w:space="0" w:color="auto"/>
      </w:divBdr>
      <w:divsChild>
        <w:div w:id="960038788">
          <w:marLeft w:val="1008"/>
          <w:marRight w:val="0"/>
          <w:marTop w:val="115"/>
          <w:marBottom w:val="0"/>
          <w:divBdr>
            <w:top w:val="none" w:sz="0" w:space="0" w:color="auto"/>
            <w:left w:val="none" w:sz="0" w:space="0" w:color="auto"/>
            <w:bottom w:val="none" w:sz="0" w:space="0" w:color="auto"/>
            <w:right w:val="none" w:sz="0" w:space="0" w:color="auto"/>
          </w:divBdr>
        </w:div>
        <w:div w:id="1528251169">
          <w:marLeft w:val="1008"/>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mailto:smohammad@mhi.mb.ca"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Office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8830312484524392"/>
          <c:y val="5.1212739032621107E-2"/>
          <c:w val="0.49094215817362452"/>
          <c:h val="0.72394802212223475"/>
        </c:manualLayout>
      </c:layout>
      <c:lineChart>
        <c:grouping val="standard"/>
        <c:ser>
          <c:idx val="0"/>
          <c:order val="0"/>
          <c:tx>
            <c:strRef>
              <c:f>Sheet1!$B$1</c:f>
              <c:strCache>
                <c:ptCount val="1"/>
                <c:pt idx="0">
                  <c:v>Peak Generation (Gas Constrained Case)</c:v>
                </c:pt>
              </c:strCache>
            </c:strRef>
          </c:tx>
          <c:spPr>
            <a:ln w="63500">
              <a:solidFill>
                <a:schemeClr val="tx1"/>
              </a:solidFill>
            </a:ln>
          </c:spPr>
          <c:marker>
            <c:spPr>
              <a:solidFill>
                <a:schemeClr val="tx1"/>
              </a:solidFill>
              <a:ln>
                <a:solidFill>
                  <a:prstClr val="black"/>
                </a:solidFill>
              </a:ln>
            </c:spPr>
          </c:marker>
          <c:cat>
            <c:numRef>
              <c:f>Sheet1!$A$2:$A$8</c:f>
              <c:numCache>
                <c:formatCode>General</c:formatCode>
                <c:ptCount val="7"/>
                <c:pt idx="0">
                  <c:v>2014</c:v>
                </c:pt>
                <c:pt idx="1">
                  <c:v>2015</c:v>
                </c:pt>
                <c:pt idx="2">
                  <c:v>2016</c:v>
                </c:pt>
                <c:pt idx="3">
                  <c:v>2017</c:v>
                </c:pt>
                <c:pt idx="4">
                  <c:v>2018</c:v>
                </c:pt>
                <c:pt idx="5">
                  <c:v>2019</c:v>
                </c:pt>
                <c:pt idx="6">
                  <c:v>2020</c:v>
                </c:pt>
              </c:numCache>
            </c:numRef>
          </c:cat>
          <c:val>
            <c:numRef>
              <c:f>Sheet1!$B$2:$B$8</c:f>
              <c:numCache>
                <c:formatCode>General</c:formatCode>
                <c:ptCount val="7"/>
                <c:pt idx="0">
                  <c:v>5664</c:v>
                </c:pt>
                <c:pt idx="1">
                  <c:v>5858</c:v>
                </c:pt>
                <c:pt idx="2">
                  <c:v>6766</c:v>
                </c:pt>
                <c:pt idx="3">
                  <c:v>7672</c:v>
                </c:pt>
                <c:pt idx="4">
                  <c:v>8579</c:v>
                </c:pt>
                <c:pt idx="5">
                  <c:v>11400</c:v>
                </c:pt>
                <c:pt idx="6">
                  <c:v>15000</c:v>
                </c:pt>
              </c:numCache>
            </c:numRef>
          </c:val>
        </c:ser>
        <c:ser>
          <c:idx val="1"/>
          <c:order val="1"/>
          <c:tx>
            <c:strRef>
              <c:f>Sheet1!$C$1</c:f>
              <c:strCache>
                <c:ptCount val="1"/>
                <c:pt idx="0">
                  <c:v>Transmission System Capacity to Wheel Load</c:v>
                </c:pt>
              </c:strCache>
            </c:strRef>
          </c:tx>
          <c:spPr>
            <a:ln w="63500">
              <a:solidFill>
                <a:srgbClr val="FF0000"/>
              </a:solidFill>
            </a:ln>
          </c:spPr>
          <c:marker>
            <c:spPr>
              <a:solidFill>
                <a:srgbClr val="FF0000"/>
              </a:solidFill>
              <a:ln>
                <a:solidFill>
                  <a:srgbClr val="FF0000"/>
                </a:solidFill>
              </a:ln>
            </c:spPr>
          </c:marker>
          <c:cat>
            <c:numRef>
              <c:f>Sheet1!$A$2:$A$8</c:f>
              <c:numCache>
                <c:formatCode>General</c:formatCode>
                <c:ptCount val="7"/>
                <c:pt idx="0">
                  <c:v>2014</c:v>
                </c:pt>
                <c:pt idx="1">
                  <c:v>2015</c:v>
                </c:pt>
                <c:pt idx="2">
                  <c:v>2016</c:v>
                </c:pt>
                <c:pt idx="3">
                  <c:v>2017</c:v>
                </c:pt>
                <c:pt idx="4">
                  <c:v>2018</c:v>
                </c:pt>
                <c:pt idx="5">
                  <c:v>2019</c:v>
                </c:pt>
                <c:pt idx="6">
                  <c:v>2020</c:v>
                </c:pt>
              </c:numCache>
            </c:numRef>
          </c:cat>
          <c:val>
            <c:numRef>
              <c:f>Sheet1!$C$2:$C$8</c:f>
              <c:numCache>
                <c:formatCode>General</c:formatCode>
                <c:ptCount val="7"/>
                <c:pt idx="0">
                  <c:v>6000</c:v>
                </c:pt>
                <c:pt idx="1">
                  <c:v>7000</c:v>
                </c:pt>
                <c:pt idx="2">
                  <c:v>8500</c:v>
                </c:pt>
                <c:pt idx="3">
                  <c:v>10000</c:v>
                </c:pt>
                <c:pt idx="4">
                  <c:v>13000</c:v>
                </c:pt>
                <c:pt idx="5">
                  <c:v>16000</c:v>
                </c:pt>
                <c:pt idx="6">
                  <c:v>20000</c:v>
                </c:pt>
              </c:numCache>
            </c:numRef>
          </c:val>
        </c:ser>
        <c:marker val="1"/>
        <c:axId val="138284416"/>
        <c:axId val="138286592"/>
      </c:lineChart>
      <c:catAx>
        <c:axId val="138284416"/>
        <c:scaling>
          <c:orientation val="minMax"/>
        </c:scaling>
        <c:axPos val="b"/>
        <c:numFmt formatCode="General" sourceLinked="1"/>
        <c:tickLblPos val="nextTo"/>
        <c:crossAx val="138286592"/>
        <c:crosses val="autoZero"/>
        <c:auto val="1"/>
        <c:lblAlgn val="ctr"/>
        <c:lblOffset val="100"/>
      </c:catAx>
      <c:valAx>
        <c:axId val="138286592"/>
        <c:scaling>
          <c:orientation val="minMax"/>
        </c:scaling>
        <c:axPos val="l"/>
        <c:majorGridlines/>
        <c:title>
          <c:tx>
            <c:rich>
              <a:bodyPr rot="0" vert="horz"/>
              <a:lstStyle/>
              <a:p>
                <a:pPr>
                  <a:defRPr/>
                </a:pPr>
                <a:r>
                  <a:rPr lang="en-US"/>
                  <a:t>MW</a:t>
                </a:r>
              </a:p>
            </c:rich>
          </c:tx>
        </c:title>
        <c:numFmt formatCode="#,##0" sourceLinked="0"/>
        <c:tickLblPos val="nextTo"/>
        <c:crossAx val="138284416"/>
        <c:crosses val="autoZero"/>
        <c:crossBetween val="between"/>
      </c:valAx>
    </c:plotArea>
    <c:legend>
      <c:legendPos val="r"/>
      <c:layout>
        <c:manualLayout>
          <c:xMode val="edge"/>
          <c:yMode val="edge"/>
          <c:x val="0.69742918338037974"/>
          <c:y val="5.4260170603674496E-2"/>
          <c:w val="0.29313685435546982"/>
          <c:h val="0.69505085301837732"/>
        </c:manualLayout>
      </c:layout>
    </c:legend>
    <c:plotVisOnly val="1"/>
    <c:dispBlanksAs val="gap"/>
  </c:chart>
  <c:txPr>
    <a:bodyPr/>
    <a:lstStyle/>
    <a:p>
      <a:pPr>
        <a:defRPr sz="1200" baseline="0"/>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col"/>
        <c:grouping val="stacked"/>
        <c:ser>
          <c:idx val="0"/>
          <c:order val="0"/>
          <c:tx>
            <c:strRef>
              <c:f>Sheet1!$B$1</c:f>
              <c:strCache>
                <c:ptCount val="1"/>
                <c:pt idx="0">
                  <c:v>TSP</c:v>
                </c:pt>
              </c:strCache>
            </c:strRef>
          </c:tx>
          <c:cat>
            <c:numRef>
              <c:f>Sheet1!$A$2:$A$6</c:f>
              <c:numCache>
                <c:formatCode>General</c:formatCode>
                <c:ptCount val="5"/>
                <c:pt idx="0">
                  <c:v>2014</c:v>
                </c:pt>
                <c:pt idx="1">
                  <c:v>2015</c:v>
                </c:pt>
                <c:pt idx="2">
                  <c:v>2016</c:v>
                </c:pt>
                <c:pt idx="3">
                  <c:v>2017</c:v>
                </c:pt>
                <c:pt idx="4">
                  <c:v>2018</c:v>
                </c:pt>
              </c:numCache>
            </c:numRef>
          </c:cat>
          <c:val>
            <c:numRef>
              <c:f>Sheet1!$B$2:$B$6</c:f>
              <c:numCache>
                <c:formatCode>General</c:formatCode>
                <c:ptCount val="5"/>
                <c:pt idx="0">
                  <c:v>1216.9000000000001</c:v>
                </c:pt>
                <c:pt idx="1">
                  <c:v>2425.4999999999995</c:v>
                </c:pt>
                <c:pt idx="2">
                  <c:v>1515</c:v>
                </c:pt>
                <c:pt idx="3">
                  <c:v>1351.1999999999998</c:v>
                </c:pt>
                <c:pt idx="4">
                  <c:v>1165.8999999999999</c:v>
                </c:pt>
              </c:numCache>
            </c:numRef>
          </c:val>
        </c:ser>
        <c:ser>
          <c:idx val="1"/>
          <c:order val="1"/>
          <c:tx>
            <c:strRef>
              <c:f>Sheet1!$C$1</c:f>
              <c:strCache>
                <c:ptCount val="1"/>
                <c:pt idx="0">
                  <c:v>SO</c:v>
                </c:pt>
              </c:strCache>
            </c:strRef>
          </c:tx>
          <c:cat>
            <c:numRef>
              <c:f>Sheet1!$A$2:$A$6</c:f>
              <c:numCache>
                <c:formatCode>General</c:formatCode>
                <c:ptCount val="5"/>
                <c:pt idx="0">
                  <c:v>2014</c:v>
                </c:pt>
                <c:pt idx="1">
                  <c:v>2015</c:v>
                </c:pt>
                <c:pt idx="2">
                  <c:v>2016</c:v>
                </c:pt>
                <c:pt idx="3">
                  <c:v>2017</c:v>
                </c:pt>
                <c:pt idx="4">
                  <c:v>2018</c:v>
                </c:pt>
              </c:numCache>
            </c:numRef>
          </c:cat>
          <c:val>
            <c:numRef>
              <c:f>Sheet1!$C$2:$C$6</c:f>
              <c:numCache>
                <c:formatCode>General</c:formatCode>
                <c:ptCount val="5"/>
                <c:pt idx="0">
                  <c:v>30.7</c:v>
                </c:pt>
                <c:pt idx="1">
                  <c:v>77.2</c:v>
                </c:pt>
                <c:pt idx="2">
                  <c:v>8.5</c:v>
                </c:pt>
                <c:pt idx="3">
                  <c:v>8.9000000000000021</c:v>
                </c:pt>
                <c:pt idx="4">
                  <c:v>9.3000000000000007</c:v>
                </c:pt>
              </c:numCache>
            </c:numRef>
          </c:val>
        </c:ser>
        <c:ser>
          <c:idx val="2"/>
          <c:order val="2"/>
          <c:tx>
            <c:strRef>
              <c:f>Sheet1!$D$1</c:f>
              <c:strCache>
                <c:ptCount val="1"/>
                <c:pt idx="0">
                  <c:v>MO</c:v>
                </c:pt>
              </c:strCache>
            </c:strRef>
          </c:tx>
          <c:cat>
            <c:numRef>
              <c:f>Sheet1!$A$2:$A$6</c:f>
              <c:numCache>
                <c:formatCode>General</c:formatCode>
                <c:ptCount val="5"/>
                <c:pt idx="0">
                  <c:v>2014</c:v>
                </c:pt>
                <c:pt idx="1">
                  <c:v>2015</c:v>
                </c:pt>
                <c:pt idx="2">
                  <c:v>2016</c:v>
                </c:pt>
                <c:pt idx="3">
                  <c:v>2017</c:v>
                </c:pt>
                <c:pt idx="4">
                  <c:v>2018</c:v>
                </c:pt>
              </c:numCache>
            </c:numRef>
          </c:cat>
          <c:val>
            <c:numRef>
              <c:f>Sheet1!$D$2:$D$6</c:f>
              <c:numCache>
                <c:formatCode>General</c:formatCode>
                <c:ptCount val="5"/>
                <c:pt idx="0">
                  <c:v>2.2000000000000002</c:v>
                </c:pt>
                <c:pt idx="1">
                  <c:v>12.3</c:v>
                </c:pt>
                <c:pt idx="2">
                  <c:v>1.6</c:v>
                </c:pt>
                <c:pt idx="3">
                  <c:v>1.2</c:v>
                </c:pt>
                <c:pt idx="4">
                  <c:v>1.2</c:v>
                </c:pt>
              </c:numCache>
            </c:numRef>
          </c:val>
        </c:ser>
        <c:gapWidth val="55"/>
        <c:overlap val="100"/>
        <c:axId val="138311936"/>
        <c:axId val="138326016"/>
      </c:barChart>
      <c:catAx>
        <c:axId val="138311936"/>
        <c:scaling>
          <c:orientation val="minMax"/>
        </c:scaling>
        <c:axPos val="b"/>
        <c:numFmt formatCode="General" sourceLinked="1"/>
        <c:majorTickMark val="none"/>
        <c:tickLblPos val="nextTo"/>
        <c:crossAx val="138326016"/>
        <c:crosses val="autoZero"/>
        <c:auto val="1"/>
        <c:lblAlgn val="ctr"/>
        <c:lblOffset val="100"/>
      </c:catAx>
      <c:valAx>
        <c:axId val="138326016"/>
        <c:scaling>
          <c:orientation val="minMax"/>
        </c:scaling>
        <c:axPos val="l"/>
        <c:majorGridlines/>
        <c:title>
          <c:tx>
            <c:rich>
              <a:bodyPr rot="0" vert="horz"/>
              <a:lstStyle/>
              <a:p>
                <a:pPr>
                  <a:defRPr/>
                </a:pPr>
                <a:r>
                  <a:rPr lang="en-US"/>
                  <a:t>$Millions</a:t>
                </a:r>
              </a:p>
            </c:rich>
          </c:tx>
        </c:title>
        <c:numFmt formatCode="&quot;$&quot;#,##0" sourceLinked="0"/>
        <c:majorTickMark val="none"/>
        <c:tickLblPos val="nextTo"/>
        <c:crossAx val="138311936"/>
        <c:crosses val="autoZero"/>
        <c:crossBetween val="between"/>
      </c:valAx>
    </c:plotArea>
    <c:legend>
      <c:legendPos val="r"/>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9100445045311704"/>
          <c:y val="3.6121109861267341E-2"/>
          <c:w val="0.50774171883611963"/>
          <c:h val="0.82705005624296968"/>
        </c:manualLayout>
      </c:layout>
      <c:barChart>
        <c:barDir val="col"/>
        <c:grouping val="stacked"/>
        <c:ser>
          <c:idx val="0"/>
          <c:order val="0"/>
          <c:tx>
            <c:strRef>
              <c:f>Sheet1!$B$1</c:f>
              <c:strCache>
                <c:ptCount val="1"/>
                <c:pt idx="0">
                  <c:v>Secured Loans</c:v>
                </c:pt>
              </c:strCache>
            </c:strRef>
          </c:tx>
          <c:spPr>
            <a:solidFill>
              <a:schemeClr val="accent6">
                <a:lumMod val="75000"/>
              </a:schemeClr>
            </a:solidFill>
          </c:spPr>
          <c:cat>
            <c:numRef>
              <c:f>Sheet1!$A$2:$A$8</c:f>
              <c:numCache>
                <c:formatCode>General</c:formatCode>
                <c:ptCount val="7"/>
                <c:pt idx="1">
                  <c:v>2014</c:v>
                </c:pt>
                <c:pt idx="4">
                  <c:v>2015</c:v>
                </c:pt>
              </c:numCache>
            </c:numRef>
          </c:cat>
          <c:val>
            <c:numRef>
              <c:f>Sheet1!$B$2:$B$8</c:f>
              <c:numCache>
                <c:formatCode>0</c:formatCode>
                <c:ptCount val="7"/>
                <c:pt idx="1">
                  <c:v>287</c:v>
                </c:pt>
                <c:pt idx="4">
                  <c:v>285.35000000000002</c:v>
                </c:pt>
                <c:pt idx="6">
                  <c:v>0</c:v>
                </c:pt>
              </c:numCache>
            </c:numRef>
          </c:val>
        </c:ser>
        <c:ser>
          <c:idx val="1"/>
          <c:order val="1"/>
          <c:tx>
            <c:strRef>
              <c:f>Sheet1!$C$1</c:f>
              <c:strCache>
                <c:ptCount val="1"/>
                <c:pt idx="0">
                  <c:v>FGN Budget Appropriation</c:v>
                </c:pt>
              </c:strCache>
            </c:strRef>
          </c:tx>
          <c:spPr>
            <a:solidFill>
              <a:schemeClr val="accent6">
                <a:lumMod val="40000"/>
                <a:lumOff val="60000"/>
              </a:schemeClr>
            </a:solidFill>
          </c:spPr>
          <c:cat>
            <c:numRef>
              <c:f>Sheet1!$A$2:$A$8</c:f>
              <c:numCache>
                <c:formatCode>General</c:formatCode>
                <c:ptCount val="7"/>
                <c:pt idx="1">
                  <c:v>2014</c:v>
                </c:pt>
                <c:pt idx="4">
                  <c:v>2015</c:v>
                </c:pt>
              </c:numCache>
            </c:numRef>
          </c:cat>
          <c:val>
            <c:numRef>
              <c:f>Sheet1!$C$2:$C$8</c:f>
              <c:numCache>
                <c:formatCode>0</c:formatCode>
                <c:ptCount val="7"/>
                <c:pt idx="1">
                  <c:v>125</c:v>
                </c:pt>
                <c:pt idx="4">
                  <c:v>125</c:v>
                </c:pt>
              </c:numCache>
            </c:numRef>
          </c:val>
        </c:ser>
        <c:ser>
          <c:idx val="2"/>
          <c:order val="2"/>
          <c:tx>
            <c:strRef>
              <c:f>Sheet1!$D$1</c:f>
              <c:strCache>
                <c:ptCount val="1"/>
                <c:pt idx="0">
                  <c:v>Funding to be Determined</c:v>
                </c:pt>
              </c:strCache>
            </c:strRef>
          </c:tx>
          <c:spPr>
            <a:solidFill>
              <a:srgbClr val="FF0000"/>
            </a:solidFill>
          </c:spPr>
          <c:cat>
            <c:numRef>
              <c:f>Sheet1!$A$2:$A$8</c:f>
              <c:numCache>
                <c:formatCode>General</c:formatCode>
                <c:ptCount val="7"/>
                <c:pt idx="1">
                  <c:v>2014</c:v>
                </c:pt>
                <c:pt idx="4">
                  <c:v>2015</c:v>
                </c:pt>
              </c:numCache>
            </c:numRef>
          </c:cat>
          <c:val>
            <c:numRef>
              <c:f>Sheet1!$D$2:$D$8</c:f>
              <c:numCache>
                <c:formatCode>0</c:formatCode>
                <c:ptCount val="7"/>
                <c:pt idx="1">
                  <c:v>773</c:v>
                </c:pt>
                <c:pt idx="4">
                  <c:v>2069.099730172396</c:v>
                </c:pt>
              </c:numCache>
            </c:numRef>
          </c:val>
        </c:ser>
        <c:ser>
          <c:idx val="3"/>
          <c:order val="3"/>
          <c:tx>
            <c:strRef>
              <c:f>Sheet1!$E$1</c:f>
              <c:strCache>
                <c:ptCount val="1"/>
                <c:pt idx="0">
                  <c:v>Substation Refurbishment</c:v>
                </c:pt>
              </c:strCache>
            </c:strRef>
          </c:tx>
          <c:spPr>
            <a:solidFill>
              <a:schemeClr val="tx2">
                <a:lumMod val="75000"/>
              </a:schemeClr>
            </a:solidFill>
            <a:ln>
              <a:noFill/>
              <a:prstDash val="sysDash"/>
            </a:ln>
          </c:spPr>
          <c:cat>
            <c:numRef>
              <c:f>Sheet1!$A$2:$A$8</c:f>
              <c:numCache>
                <c:formatCode>General</c:formatCode>
                <c:ptCount val="7"/>
                <c:pt idx="1">
                  <c:v>2014</c:v>
                </c:pt>
                <c:pt idx="4">
                  <c:v>2015</c:v>
                </c:pt>
              </c:numCache>
            </c:numRef>
          </c:cat>
          <c:val>
            <c:numRef>
              <c:f>Sheet1!$E$2:$E$8</c:f>
              <c:numCache>
                <c:formatCode>General</c:formatCode>
                <c:ptCount val="7"/>
                <c:pt idx="2" formatCode="0">
                  <c:v>568.00542179999798</c:v>
                </c:pt>
                <c:pt idx="5" formatCode="0">
                  <c:v>236.66892575</c:v>
                </c:pt>
              </c:numCache>
            </c:numRef>
          </c:val>
        </c:ser>
        <c:ser>
          <c:idx val="4"/>
          <c:order val="4"/>
          <c:tx>
            <c:strRef>
              <c:f>Sheet1!$F$1</c:f>
              <c:strCache>
                <c:ptCount val="1"/>
                <c:pt idx="0">
                  <c:v>Ongoing Projects - Lines and Substations</c:v>
                </c:pt>
              </c:strCache>
            </c:strRef>
          </c:tx>
          <c:spPr>
            <a:solidFill>
              <a:schemeClr val="tx2">
                <a:lumMod val="60000"/>
                <a:lumOff val="40000"/>
              </a:schemeClr>
            </a:solidFill>
          </c:spPr>
          <c:cat>
            <c:numRef>
              <c:f>Sheet1!$A$2:$A$8</c:f>
              <c:numCache>
                <c:formatCode>General</c:formatCode>
                <c:ptCount val="7"/>
                <c:pt idx="1">
                  <c:v>2014</c:v>
                </c:pt>
                <c:pt idx="4">
                  <c:v>2015</c:v>
                </c:pt>
              </c:numCache>
            </c:numRef>
          </c:cat>
          <c:val>
            <c:numRef>
              <c:f>Sheet1!$F$2:$F$8</c:f>
              <c:numCache>
                <c:formatCode>General</c:formatCode>
                <c:ptCount val="7"/>
                <c:pt idx="2" formatCode="0">
                  <c:v>495.42081599899717</c:v>
                </c:pt>
                <c:pt idx="5" formatCode="0">
                  <c:v>495</c:v>
                </c:pt>
              </c:numCache>
            </c:numRef>
          </c:val>
        </c:ser>
        <c:ser>
          <c:idx val="5"/>
          <c:order val="5"/>
          <c:tx>
            <c:strRef>
              <c:f>Sheet1!$G$1</c:f>
              <c:strCache>
                <c:ptCount val="1"/>
                <c:pt idx="0">
                  <c:v>New Lines and Substations</c:v>
                </c:pt>
              </c:strCache>
            </c:strRef>
          </c:tx>
          <c:spPr>
            <a:solidFill>
              <a:schemeClr val="tx2">
                <a:lumMod val="40000"/>
                <a:lumOff val="60000"/>
              </a:schemeClr>
            </a:solidFill>
          </c:spPr>
          <c:cat>
            <c:numRef>
              <c:f>Sheet1!$A$2:$A$8</c:f>
              <c:numCache>
                <c:formatCode>General</c:formatCode>
                <c:ptCount val="7"/>
                <c:pt idx="1">
                  <c:v>2014</c:v>
                </c:pt>
                <c:pt idx="4">
                  <c:v>2015</c:v>
                </c:pt>
              </c:numCache>
            </c:numRef>
          </c:cat>
          <c:val>
            <c:numRef>
              <c:f>Sheet1!$G$2:$G$8</c:f>
              <c:numCache>
                <c:formatCode>General</c:formatCode>
                <c:ptCount val="7"/>
                <c:pt idx="2" formatCode="0">
                  <c:v>0</c:v>
                </c:pt>
                <c:pt idx="5" formatCode="0">
                  <c:v>1565</c:v>
                </c:pt>
              </c:numCache>
            </c:numRef>
          </c:val>
        </c:ser>
        <c:ser>
          <c:idx val="6"/>
          <c:order val="6"/>
          <c:tx>
            <c:strRef>
              <c:f>Sheet1!$H$1</c:f>
              <c:strCache>
                <c:ptCount val="1"/>
                <c:pt idx="0">
                  <c:v>Other Capital Funding Requirements</c:v>
                </c:pt>
              </c:strCache>
            </c:strRef>
          </c:tx>
          <c:spPr>
            <a:solidFill>
              <a:schemeClr val="tx2">
                <a:lumMod val="20000"/>
                <a:lumOff val="80000"/>
              </a:schemeClr>
            </a:solidFill>
          </c:spPr>
          <c:cat>
            <c:numRef>
              <c:f>Sheet1!$A$2:$A$8</c:f>
              <c:numCache>
                <c:formatCode>General</c:formatCode>
                <c:ptCount val="7"/>
                <c:pt idx="1">
                  <c:v>2014</c:v>
                </c:pt>
                <c:pt idx="4">
                  <c:v>2015</c:v>
                </c:pt>
              </c:numCache>
            </c:numRef>
          </c:cat>
          <c:val>
            <c:numRef>
              <c:f>Sheet1!$H$2:$H$8</c:f>
              <c:numCache>
                <c:formatCode>General</c:formatCode>
                <c:ptCount val="7"/>
                <c:pt idx="2" formatCode="0">
                  <c:v>121.6398104531429</c:v>
                </c:pt>
                <c:pt idx="5" formatCode="0">
                  <c:v>183.552988423382</c:v>
                </c:pt>
              </c:numCache>
            </c:numRef>
          </c:val>
        </c:ser>
        <c:gapWidth val="11"/>
        <c:overlap val="100"/>
        <c:axId val="138521600"/>
        <c:axId val="138633984"/>
      </c:barChart>
      <c:catAx>
        <c:axId val="138521600"/>
        <c:scaling>
          <c:orientation val="minMax"/>
        </c:scaling>
        <c:axPos val="b"/>
        <c:numFmt formatCode="General" sourceLinked="1"/>
        <c:tickLblPos val="nextTo"/>
        <c:crossAx val="138633984"/>
        <c:crosses val="autoZero"/>
        <c:auto val="1"/>
        <c:lblAlgn val="ctr"/>
        <c:lblOffset val="100"/>
      </c:catAx>
      <c:valAx>
        <c:axId val="138633984"/>
        <c:scaling>
          <c:orientation val="minMax"/>
        </c:scaling>
        <c:axPos val="l"/>
        <c:majorGridlines>
          <c:spPr>
            <a:ln>
              <a:solidFill>
                <a:schemeClr val="bg1"/>
              </a:solidFill>
            </a:ln>
          </c:spPr>
        </c:majorGridlines>
        <c:title>
          <c:tx>
            <c:rich>
              <a:bodyPr rot="0" vert="horz"/>
              <a:lstStyle/>
              <a:p>
                <a:pPr>
                  <a:defRPr/>
                </a:pPr>
                <a:r>
                  <a:rPr lang="en-US" baseline="0"/>
                  <a:t>$Millions</a:t>
                </a:r>
                <a:endParaRPr lang="en-US"/>
              </a:p>
            </c:rich>
          </c:tx>
        </c:title>
        <c:numFmt formatCode="&quot;$&quot;#,##0" sourceLinked="0"/>
        <c:tickLblPos val="nextTo"/>
        <c:crossAx val="138521600"/>
        <c:crosses val="autoZero"/>
        <c:crossBetween val="between"/>
      </c:valAx>
    </c:plotArea>
    <c:legend>
      <c:legendPos val="r"/>
      <c:layout>
        <c:manualLayout>
          <c:xMode val="edge"/>
          <c:yMode val="edge"/>
          <c:x val="0.70720174463540963"/>
          <c:y val="0.18674546519853646"/>
          <c:w val="0.27999772210983032"/>
          <c:h val="0.62650906960292951"/>
        </c:manualLayout>
      </c:layout>
    </c:legend>
    <c:plotVisOnly val="1"/>
    <c:dispBlanksAs val="gap"/>
  </c:chart>
  <c:externalData r:id="rId1"/>
  <c:userShapes r:id="rId2"/>
</c:chartSpace>
</file>

<file path=word/drawings/_rels/drawing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drawings/drawing1.xml><?xml version="1.0" encoding="utf-8"?>
<c:userShapes xmlns:c="http://schemas.openxmlformats.org/drawingml/2006/chart">
  <cdr:relSizeAnchor xmlns:cdr="http://schemas.openxmlformats.org/drawingml/2006/chartDrawing">
    <cdr:from>
      <cdr:x>0.47863</cdr:x>
      <cdr:y>0.11455</cdr:y>
    </cdr:from>
    <cdr:to>
      <cdr:x>0.63353</cdr:x>
      <cdr:y>0.16262</cdr:y>
    </cdr:to>
    <cdr:pic>
      <cdr:nvPicPr>
        <cdr:cNvPr id="7"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2849217" y="490330"/>
          <a:ext cx="922100" cy="205758"/>
        </a:xfrm>
        <a:prstGeom xmlns:a="http://schemas.openxmlformats.org/drawingml/2006/main" prst="rect">
          <a:avLst/>
        </a:prstGeom>
      </cdr:spPr>
    </cdr:pic>
  </cdr:relSizeAnchor>
  <cdr:relSizeAnchor xmlns:cdr="http://schemas.openxmlformats.org/drawingml/2006/chartDrawing">
    <cdr:from>
      <cdr:x>0.26158</cdr:x>
      <cdr:y>0.4613</cdr:y>
    </cdr:from>
    <cdr:to>
      <cdr:x>0.41648</cdr:x>
      <cdr:y>0.50937</cdr:y>
    </cdr:to>
    <cdr:pic>
      <cdr:nvPicPr>
        <cdr:cNvPr id="8"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1557130" y="1974573"/>
          <a:ext cx="922100" cy="205758"/>
        </a:xfrm>
        <a:prstGeom xmlns:a="http://schemas.openxmlformats.org/drawingml/2006/main" prst="rect">
          <a:avLst/>
        </a:prstGeom>
      </cdr:spPr>
    </cdr:pic>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CC07C-D507-4605-8FF6-1E93EC448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25</Pages>
  <Words>4950</Words>
  <Characters>28215</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tsimpson</dc:creator>
  <cp:lastModifiedBy>tsimpson</cp:lastModifiedBy>
  <cp:revision>5</cp:revision>
  <cp:lastPrinted>2014-02-11T17:09:00Z</cp:lastPrinted>
  <dcterms:created xsi:type="dcterms:W3CDTF">2014-03-15T13:02:00Z</dcterms:created>
  <dcterms:modified xsi:type="dcterms:W3CDTF">2014-03-15T15:07:00Z</dcterms:modified>
</cp:coreProperties>
</file>