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CB8" w:rsidRPr="00527E19" w:rsidRDefault="00740A98" w:rsidP="00B35CB8">
      <w:pPr>
        <w:pStyle w:val="Title"/>
        <w:rPr>
          <w:sz w:val="40"/>
          <w:szCs w:val="40"/>
        </w:rPr>
      </w:pPr>
      <w:r w:rsidRPr="00527E19">
        <w:rPr>
          <w:sz w:val="40"/>
          <w:szCs w:val="40"/>
        </w:rPr>
        <w:t>ANNEX 4</w:t>
      </w:r>
      <w:r w:rsidR="008D207C" w:rsidRPr="00527E19">
        <w:rPr>
          <w:sz w:val="40"/>
          <w:szCs w:val="40"/>
        </w:rPr>
        <w:t xml:space="preserve"> – FINANCIAL ASSESSMENT </w:t>
      </w:r>
      <w:r w:rsidR="00B35CB8" w:rsidRPr="00527E19">
        <w:rPr>
          <w:sz w:val="40"/>
          <w:szCs w:val="40"/>
        </w:rPr>
        <w:t>OF tcn</w:t>
      </w:r>
    </w:p>
    <w:p w:rsidR="00E572D3" w:rsidRPr="00E572D3" w:rsidRDefault="00E572D3" w:rsidP="00BB34A1">
      <w:pPr>
        <w:spacing w:after="0"/>
      </w:pPr>
    </w:p>
    <w:p w:rsidR="00904957" w:rsidRPr="00527E19" w:rsidRDefault="00904957" w:rsidP="00527E19">
      <w:pPr>
        <w:pStyle w:val="Heading1"/>
      </w:pPr>
      <w:r w:rsidRPr="00527E19">
        <w:t>Introduction</w:t>
      </w:r>
    </w:p>
    <w:p w:rsidR="002529AA" w:rsidRPr="00BB34A1" w:rsidRDefault="00B338FF" w:rsidP="00BB34A1">
      <w:pPr>
        <w:spacing w:before="240" w:after="120"/>
        <w:rPr>
          <w:rFonts w:ascii="Arial" w:hAnsi="Arial" w:cs="Arial"/>
          <w:sz w:val="24"/>
          <w:szCs w:val="24"/>
        </w:rPr>
      </w:pPr>
      <w:r w:rsidRPr="00BB34A1">
        <w:rPr>
          <w:rFonts w:ascii="Arial" w:hAnsi="Arial" w:cs="Arial"/>
          <w:sz w:val="24"/>
          <w:szCs w:val="24"/>
        </w:rPr>
        <w:t xml:space="preserve">This Annex presents the financial assessment of TCN covering the recent past performance (2011 to 2013) </w:t>
      </w:r>
      <w:proofErr w:type="gramStart"/>
      <w:r w:rsidRPr="00BB34A1">
        <w:rPr>
          <w:rFonts w:ascii="Arial" w:hAnsi="Arial" w:cs="Arial"/>
          <w:sz w:val="24"/>
          <w:szCs w:val="24"/>
        </w:rPr>
        <w:t xml:space="preserve">and </w:t>
      </w:r>
      <w:r w:rsidR="0053510B" w:rsidRPr="00BB34A1">
        <w:rPr>
          <w:rFonts w:ascii="Arial" w:hAnsi="Arial" w:cs="Arial"/>
          <w:sz w:val="24"/>
          <w:szCs w:val="24"/>
        </w:rPr>
        <w:t>a “</w:t>
      </w:r>
      <w:proofErr w:type="gramEnd"/>
      <w:r w:rsidR="00E572D3" w:rsidRPr="00BB34A1">
        <w:rPr>
          <w:rFonts w:ascii="Arial" w:hAnsi="Arial" w:cs="Arial"/>
          <w:sz w:val="24"/>
          <w:szCs w:val="24"/>
        </w:rPr>
        <w:t>Minimum Funding</w:t>
      </w:r>
      <w:r w:rsidR="0053510B" w:rsidRPr="00BB34A1">
        <w:rPr>
          <w:rFonts w:ascii="Arial" w:hAnsi="Arial" w:cs="Arial"/>
          <w:sz w:val="24"/>
          <w:szCs w:val="24"/>
        </w:rPr>
        <w:t>” cash constrained operating budgets for TCN for 2014-15.  The forecasts are prepared under the assumption that there will be no tariff increase in 2014-15 (i.e. MYTO II tariffs will apply throughout).  TCN’s historical financial statements have not yet been audited and there is fundamental uncertainty regarding the reliability of these financial statements.</w:t>
      </w:r>
    </w:p>
    <w:p w:rsidR="002529AA" w:rsidRDefault="002529AA" w:rsidP="00527E19">
      <w:pPr>
        <w:pStyle w:val="Heading1"/>
      </w:pPr>
      <w:r>
        <w:t>Recent Performance</w:t>
      </w:r>
    </w:p>
    <w:p w:rsidR="00F8410F" w:rsidRPr="00527E19" w:rsidRDefault="00F8410F" w:rsidP="00527E19">
      <w:pPr>
        <w:pStyle w:val="Heading2"/>
      </w:pPr>
      <w:r w:rsidRPr="00527E19">
        <w:t>Operational Performance</w:t>
      </w:r>
    </w:p>
    <w:p w:rsidR="005B21FE" w:rsidRDefault="008B1B18" w:rsidP="00527E19">
      <w:pPr>
        <w:pStyle w:val="Style1"/>
      </w:pPr>
      <w:r>
        <w:t xml:space="preserve">TCN’s key operational performance indicators over the last three years are indicated in </w:t>
      </w:r>
      <w:fldSimple w:instr=" REF _Ref382303236 \h ">
        <w:r w:rsidR="0053510B">
          <w:t xml:space="preserve">Table </w:t>
        </w:r>
        <w:r w:rsidR="0053510B">
          <w:rPr>
            <w:noProof/>
          </w:rPr>
          <w:t>1</w:t>
        </w:r>
      </w:fldSimple>
      <w:r w:rsidR="0053510B">
        <w:t xml:space="preserve"> and </w:t>
      </w:r>
      <w:fldSimple w:instr=" REF _Ref382303262 \h ">
        <w:r w:rsidR="0053510B">
          <w:t xml:space="preserve">Figure </w:t>
        </w:r>
        <w:r w:rsidR="0053510B">
          <w:rPr>
            <w:noProof/>
          </w:rPr>
          <w:t>1</w:t>
        </w:r>
      </w:fldSimple>
      <w:r w:rsidR="0053510B">
        <w:t xml:space="preserve"> below</w:t>
      </w:r>
      <w:r>
        <w:t>.</w:t>
      </w:r>
    </w:p>
    <w:p w:rsidR="0053510B" w:rsidRDefault="0053510B" w:rsidP="00527E19">
      <w:pPr>
        <w:pStyle w:val="Caption"/>
      </w:pPr>
      <w:bookmarkStart w:id="0" w:name="_Ref382303236"/>
      <w:r>
        <w:t xml:space="preserve">Table </w:t>
      </w:r>
      <w:fldSimple w:instr=" SEQ Table \* ARABIC ">
        <w:r w:rsidR="00FF2D04">
          <w:rPr>
            <w:noProof/>
          </w:rPr>
          <w:t>1</w:t>
        </w:r>
      </w:fldSimple>
      <w:bookmarkEnd w:id="0"/>
      <w:r>
        <w:t>: Operational Indicators 2011-13</w:t>
      </w:r>
    </w:p>
    <w:tbl>
      <w:tblPr>
        <w:tblW w:w="7680" w:type="dxa"/>
        <w:jc w:val="center"/>
        <w:tblLook w:val="04A0"/>
      </w:tblPr>
      <w:tblGrid>
        <w:gridCol w:w="4320"/>
        <w:gridCol w:w="1120"/>
        <w:gridCol w:w="1120"/>
        <w:gridCol w:w="1120"/>
      </w:tblGrid>
      <w:tr w:rsidR="0053510B" w:rsidRPr="0053510B" w:rsidTr="0053510B">
        <w:trPr>
          <w:trHeight w:val="300"/>
          <w:jc w:val="center"/>
        </w:trPr>
        <w:tc>
          <w:tcPr>
            <w:tcW w:w="4320" w:type="dxa"/>
            <w:tcBorders>
              <w:top w:val="single" w:sz="4" w:space="0" w:color="auto"/>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 </w:t>
            </w:r>
          </w:p>
        </w:tc>
        <w:tc>
          <w:tcPr>
            <w:tcW w:w="1120" w:type="dxa"/>
            <w:tcBorders>
              <w:top w:val="single" w:sz="4" w:space="0" w:color="auto"/>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2011</w:t>
            </w:r>
          </w:p>
        </w:tc>
        <w:tc>
          <w:tcPr>
            <w:tcW w:w="1120" w:type="dxa"/>
            <w:tcBorders>
              <w:top w:val="single" w:sz="4" w:space="0" w:color="auto"/>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2012</w:t>
            </w:r>
          </w:p>
        </w:tc>
        <w:tc>
          <w:tcPr>
            <w:tcW w:w="1120" w:type="dxa"/>
            <w:tcBorders>
              <w:top w:val="single" w:sz="4" w:space="0" w:color="auto"/>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2013</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Peak generation (MW)</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4,089</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4,518</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4,458</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Average generation (MW)</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3,082</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3,298</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3,297</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Growth in peak generation</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7.5%</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10.5%</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-1.3%</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Energy wheeled (sent out by stations) (GWh)</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26,999</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28,890</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28,879</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Growth in energy sent out</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10.8%</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7.0%</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0.0%</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Transmission losses (%)</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10.4%</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12.1%</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12.1%</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Bulk supply to DisCos (GWh)</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24,205</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25,385</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25,373</w:t>
            </w:r>
          </w:p>
        </w:tc>
      </w:tr>
      <w:tr w:rsidR="0053510B" w:rsidRPr="0053510B" w:rsidTr="0053510B">
        <w:trPr>
          <w:trHeight w:val="300"/>
          <w:jc w:val="center"/>
        </w:trPr>
        <w:tc>
          <w:tcPr>
            <w:tcW w:w="4320" w:type="dxa"/>
            <w:tcBorders>
              <w:top w:val="nil"/>
              <w:left w:val="single" w:sz="4" w:space="0" w:color="auto"/>
              <w:bottom w:val="nil"/>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Number of staff at December 31</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3,334</w:t>
            </w:r>
          </w:p>
        </w:tc>
        <w:tc>
          <w:tcPr>
            <w:tcW w:w="1120" w:type="dxa"/>
            <w:tcBorders>
              <w:top w:val="nil"/>
              <w:left w:val="nil"/>
              <w:bottom w:val="nil"/>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3,958</w:t>
            </w:r>
          </w:p>
        </w:tc>
        <w:tc>
          <w:tcPr>
            <w:tcW w:w="1120" w:type="dxa"/>
            <w:tcBorders>
              <w:top w:val="nil"/>
              <w:left w:val="nil"/>
              <w:bottom w:val="nil"/>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4,210</w:t>
            </w:r>
          </w:p>
        </w:tc>
      </w:tr>
      <w:tr w:rsidR="0053510B" w:rsidRPr="0053510B" w:rsidTr="0053510B">
        <w:trPr>
          <w:trHeight w:val="300"/>
          <w:jc w:val="center"/>
        </w:trPr>
        <w:tc>
          <w:tcPr>
            <w:tcW w:w="4320" w:type="dxa"/>
            <w:tcBorders>
              <w:top w:val="nil"/>
              <w:left w:val="single" w:sz="4" w:space="0" w:color="auto"/>
              <w:bottom w:val="single" w:sz="4" w:space="0" w:color="auto"/>
              <w:right w:val="nil"/>
            </w:tcBorders>
            <w:shd w:val="clear" w:color="auto" w:fill="auto"/>
            <w:noWrap/>
            <w:vAlign w:val="bottom"/>
            <w:hideMark/>
          </w:tcPr>
          <w:p w:rsidR="0053510B" w:rsidRPr="0053510B" w:rsidRDefault="0053510B" w:rsidP="0053510B">
            <w:pPr>
              <w:spacing w:after="0" w:line="240" w:lineRule="auto"/>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Energy wheeled (GWh) per staff</w:t>
            </w:r>
          </w:p>
        </w:tc>
        <w:tc>
          <w:tcPr>
            <w:tcW w:w="1120" w:type="dxa"/>
            <w:tcBorders>
              <w:top w:val="nil"/>
              <w:left w:val="nil"/>
              <w:bottom w:val="single" w:sz="4" w:space="0" w:color="auto"/>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8.1</w:t>
            </w:r>
          </w:p>
        </w:tc>
        <w:tc>
          <w:tcPr>
            <w:tcW w:w="1120" w:type="dxa"/>
            <w:tcBorders>
              <w:top w:val="nil"/>
              <w:left w:val="nil"/>
              <w:bottom w:val="single" w:sz="4" w:space="0" w:color="auto"/>
              <w:right w:val="nil"/>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7.3</w:t>
            </w:r>
          </w:p>
        </w:tc>
        <w:tc>
          <w:tcPr>
            <w:tcW w:w="1120" w:type="dxa"/>
            <w:tcBorders>
              <w:top w:val="nil"/>
              <w:left w:val="nil"/>
              <w:bottom w:val="single" w:sz="4" w:space="0" w:color="auto"/>
              <w:right w:val="single" w:sz="4" w:space="0" w:color="auto"/>
            </w:tcBorders>
            <w:shd w:val="clear" w:color="auto" w:fill="auto"/>
            <w:noWrap/>
            <w:vAlign w:val="bottom"/>
            <w:hideMark/>
          </w:tcPr>
          <w:p w:rsidR="0053510B" w:rsidRPr="0053510B" w:rsidRDefault="0053510B" w:rsidP="0053510B">
            <w:pPr>
              <w:spacing w:after="0" w:line="240" w:lineRule="auto"/>
              <w:jc w:val="right"/>
              <w:rPr>
                <w:rFonts w:ascii="Calibri" w:eastAsia="Times New Roman" w:hAnsi="Calibri" w:cs="Times New Roman"/>
                <w:color w:val="000000"/>
                <w:lang w:eastAsia="en-GB"/>
              </w:rPr>
            </w:pPr>
            <w:r w:rsidRPr="0053510B">
              <w:rPr>
                <w:rFonts w:ascii="Calibri" w:eastAsia="Times New Roman" w:hAnsi="Calibri" w:cs="Times New Roman"/>
                <w:color w:val="000000"/>
                <w:lang w:eastAsia="en-GB"/>
              </w:rPr>
              <w:t>6.9</w:t>
            </w:r>
          </w:p>
        </w:tc>
      </w:tr>
    </w:tbl>
    <w:p w:rsidR="0053510B" w:rsidRPr="0053510B" w:rsidRDefault="0053510B" w:rsidP="0053510B">
      <w:pPr>
        <w:jc w:val="center"/>
      </w:pPr>
    </w:p>
    <w:p w:rsidR="00115495" w:rsidRDefault="0053510B" w:rsidP="00527E19">
      <w:pPr>
        <w:jc w:val="center"/>
      </w:pPr>
      <w:r>
        <w:rPr>
          <w:noProof/>
          <w:lang w:val="en-US"/>
        </w:rPr>
        <w:lastRenderedPageBreak/>
        <w:drawing>
          <wp:inline distT="0" distB="0" distL="0" distR="0">
            <wp:extent cx="4991100" cy="29622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15495" w:rsidRPr="00527E19" w:rsidRDefault="0010698E" w:rsidP="00527E19">
      <w:pPr>
        <w:pStyle w:val="Caption"/>
      </w:pPr>
      <w:bookmarkStart w:id="1" w:name="_Ref382303262"/>
      <w:r w:rsidRPr="00527E19">
        <w:t xml:space="preserve">Figure </w:t>
      </w:r>
      <w:fldSimple w:instr=" SEQ Figure \* ARABIC ">
        <w:r w:rsidR="007601C4" w:rsidRPr="00527E19">
          <w:t>1</w:t>
        </w:r>
      </w:fldSimple>
      <w:bookmarkEnd w:id="1"/>
      <w:r w:rsidR="00FE3E5F" w:rsidRPr="00527E19">
        <w:t>: Operational Indicators 2011-</w:t>
      </w:r>
      <w:r w:rsidRPr="00527E19">
        <w:t>13</w:t>
      </w:r>
    </w:p>
    <w:p w:rsidR="00C3714B" w:rsidRDefault="00C3714B" w:rsidP="00527E19">
      <w:pPr>
        <w:pStyle w:val="Style1"/>
      </w:pPr>
      <w:r>
        <w:t>P</w:t>
      </w:r>
      <w:proofErr w:type="spellStart"/>
      <w:r w:rsidRPr="00C3714B">
        <w:rPr>
          <w:rFonts w:eastAsia="Times New Roman"/>
          <w:lang w:val="en-CA" w:eastAsia="en-CA"/>
        </w:rPr>
        <w:t>eak</w:t>
      </w:r>
      <w:proofErr w:type="spellEnd"/>
      <w:r w:rsidRPr="00C3714B">
        <w:rPr>
          <w:rFonts w:eastAsia="Times New Roman"/>
          <w:lang w:val="en-CA" w:eastAsia="en-CA"/>
        </w:rPr>
        <w:t xml:space="preserve"> generation </w:t>
      </w:r>
      <w:r>
        <w:rPr>
          <w:rFonts w:eastAsia="Times New Roman"/>
          <w:lang w:val="en-CA" w:eastAsia="en-CA"/>
        </w:rPr>
        <w:t xml:space="preserve">of around 4,500 MW in the last two years was more or less equal to the </w:t>
      </w:r>
      <w:r w:rsidRPr="00C3714B">
        <w:rPr>
          <w:rFonts w:eastAsia="Times New Roman"/>
          <w:lang w:val="en-CA" w:eastAsia="en-CA"/>
        </w:rPr>
        <w:t xml:space="preserve">capacity of the transmission network to transmit the available generation to the </w:t>
      </w:r>
      <w:r w:rsidR="0053510B">
        <w:rPr>
          <w:rFonts w:eastAsia="Times New Roman"/>
          <w:lang w:val="en-CA" w:eastAsia="en-CA"/>
        </w:rPr>
        <w:t>distribution companies (</w:t>
      </w:r>
      <w:r w:rsidRPr="00C3714B">
        <w:rPr>
          <w:rFonts w:eastAsia="Times New Roman"/>
          <w:lang w:val="en-CA" w:eastAsia="en-CA"/>
        </w:rPr>
        <w:t>DisCos</w:t>
      </w:r>
      <w:r w:rsidR="0053510B">
        <w:rPr>
          <w:rFonts w:eastAsia="Times New Roman"/>
          <w:lang w:val="en-CA" w:eastAsia="en-CA"/>
        </w:rPr>
        <w:t>)</w:t>
      </w:r>
      <w:r w:rsidRPr="00C3714B">
        <w:rPr>
          <w:rFonts w:eastAsia="Times New Roman"/>
          <w:lang w:val="en-CA" w:eastAsia="en-CA"/>
        </w:rPr>
        <w:t>.</w:t>
      </w:r>
    </w:p>
    <w:p w:rsidR="00C3714B" w:rsidRDefault="0010698E" w:rsidP="00527E19">
      <w:pPr>
        <w:pStyle w:val="Style1"/>
      </w:pPr>
      <w:r>
        <w:t xml:space="preserve">Energy wheeled (sent out by stations) registered growth rates of 10.8% in 2011, 7.0% in 2012 and remained almost unchanged in 2013. Total wheeled energy in 2013 reached 28,879GWh. Performance in terms of transmission losses has deteriorated since 2011, increasing from 10.4% in 2011 to 12.1% in 2012/13. The high losses include non-technical losses attributable to illegal connections by some large industrial consumers. Inadequate maintenance of the transmission network over the years </w:t>
      </w:r>
      <w:r w:rsidR="00C3714B">
        <w:t>has resulted in high technical losses.</w:t>
      </w:r>
    </w:p>
    <w:p w:rsidR="0010698E" w:rsidRDefault="00C3714B" w:rsidP="00527E19">
      <w:pPr>
        <w:pStyle w:val="Style1"/>
      </w:pPr>
      <w:r>
        <w:t>The number of staff employed by TCN increased fr</w:t>
      </w:r>
      <w:r w:rsidR="006F4BB3">
        <w:t xml:space="preserve">om 3,334 in 2011 to around 4,210 by end 2013. </w:t>
      </w:r>
      <w:r>
        <w:t xml:space="preserve">  </w:t>
      </w:r>
      <w:r w:rsidR="006F4BB3">
        <w:t>The increase in staff numbers was far greater than the growth in wheeled energy and as a result the energy wheeled per staff declined from 8.1GWh in 2011 to 6.9GWh in 2013.</w:t>
      </w:r>
    </w:p>
    <w:p w:rsidR="0010698E" w:rsidRDefault="0010698E" w:rsidP="00527E19">
      <w:pPr>
        <w:pStyle w:val="Heading2"/>
      </w:pPr>
      <w:r>
        <w:t>Financial Performance</w:t>
      </w:r>
    </w:p>
    <w:p w:rsidR="007601C4" w:rsidRDefault="00524836" w:rsidP="00527E19">
      <w:pPr>
        <w:pStyle w:val="Style1"/>
      </w:pPr>
      <w:r>
        <w:t>TCN is technically insolvent as the existing MYTO transmission tariffs and billing collections are inadequate for the company to finance its operations. The company is consistently unable to meet its obligations to suppliers/contractors in compliance with terms of contracts.  TCN is fortunate that the company has FGN backing.  The present financial situation of the company is not sustainable.</w:t>
      </w:r>
    </w:p>
    <w:p w:rsidR="00524836" w:rsidRDefault="00317E87" w:rsidP="00527E19">
      <w:pPr>
        <w:pStyle w:val="Style1"/>
      </w:pPr>
      <w:r>
        <w:t xml:space="preserve">Non-collection of tariff charges is a significant recurring problem for TCN.  The Interim Market Rules (pre-TEM) provides for collection of 70% for TSP and 60% for SO and MO.  However, the overall average collection rate in 2013 was </w:t>
      </w:r>
      <w:r>
        <w:lastRenderedPageBreak/>
        <w:t>around 60%. Retail billing collections by DisCos have dropped to 45% in the last two months and this will impact on all the Market Participants and Service Providers, including TCN.</w:t>
      </w:r>
      <w:r w:rsidR="007601C4">
        <w:t xml:space="preserve">   Shows the monthly billing collection performance in 2013.</w:t>
      </w:r>
    </w:p>
    <w:p w:rsidR="007601C4" w:rsidRDefault="007601C4" w:rsidP="00527E19">
      <w:pPr>
        <w:jc w:val="center"/>
      </w:pPr>
      <w:r>
        <w:rPr>
          <w:noProof/>
          <w:lang w:val="en-US"/>
        </w:rPr>
        <w:drawing>
          <wp:inline distT="0" distB="0" distL="0" distR="0">
            <wp:extent cx="4572000" cy="27432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2" w:name="_GoBack"/>
      <w:bookmarkEnd w:id="2"/>
    </w:p>
    <w:p w:rsidR="007601C4" w:rsidRDefault="007601C4" w:rsidP="00527E19">
      <w:pPr>
        <w:pStyle w:val="Caption"/>
      </w:pPr>
      <w:r>
        <w:t xml:space="preserve">Figure </w:t>
      </w:r>
      <w:fldSimple w:instr=" SEQ Figure \* ARABIC ">
        <w:r>
          <w:rPr>
            <w:noProof/>
          </w:rPr>
          <w:t>2</w:t>
        </w:r>
      </w:fldSimple>
      <w:r>
        <w:t xml:space="preserve">: 2013 Monthly Billing Collection </w:t>
      </w:r>
      <w:proofErr w:type="gramStart"/>
      <w:r>
        <w:t>Performance</w:t>
      </w:r>
      <w:proofErr w:type="gramEnd"/>
    </w:p>
    <w:p w:rsidR="00317E87" w:rsidRDefault="00317E87" w:rsidP="00527E19">
      <w:pPr>
        <w:pStyle w:val="Style1"/>
      </w:pPr>
      <w:r>
        <w:t>The company’s unpaid billing due from the market fund as at December 31, 2013 amounted to NGN50 billion (US$315 million), equivalent to 138% – or 16 months – of TCN of 2013 annual revenues.</w:t>
      </w:r>
    </w:p>
    <w:p w:rsidR="00274229" w:rsidRDefault="008A47E8" w:rsidP="00527E19">
      <w:pPr>
        <w:pStyle w:val="Style1"/>
      </w:pPr>
      <w:fldSimple w:instr=" REF _Ref382304092 \h ">
        <w:r w:rsidR="007A2BAE">
          <w:t xml:space="preserve">Table </w:t>
        </w:r>
        <w:r w:rsidR="007A2BAE">
          <w:rPr>
            <w:noProof/>
          </w:rPr>
          <w:t>2</w:t>
        </w:r>
      </w:fldSimple>
      <w:r w:rsidR="007A2BAE">
        <w:t xml:space="preserve"> below provides the </w:t>
      </w:r>
      <w:r w:rsidR="00A96D80">
        <w:t>key financial performance indic</w:t>
      </w:r>
      <w:r w:rsidR="007A2BAE">
        <w:t>ators over the past three years</w:t>
      </w:r>
      <w:r w:rsidR="00A96D80">
        <w:t>.</w:t>
      </w:r>
    </w:p>
    <w:p w:rsidR="007A2BAE" w:rsidRDefault="007A2BAE" w:rsidP="00527E19">
      <w:pPr>
        <w:pStyle w:val="Caption"/>
      </w:pPr>
      <w:bookmarkStart w:id="3" w:name="_Ref382304092"/>
      <w:r>
        <w:t xml:space="preserve">Table </w:t>
      </w:r>
      <w:fldSimple w:instr=" SEQ Table \* ARABIC ">
        <w:r w:rsidR="00FF2D04">
          <w:rPr>
            <w:noProof/>
          </w:rPr>
          <w:t>2</w:t>
        </w:r>
      </w:fldSimple>
      <w:bookmarkEnd w:id="3"/>
      <w:r>
        <w:t>: Financial Indicators 2011-13</w:t>
      </w:r>
    </w:p>
    <w:tbl>
      <w:tblPr>
        <w:tblW w:w="7680" w:type="dxa"/>
        <w:jc w:val="center"/>
        <w:tblLook w:val="04A0"/>
      </w:tblPr>
      <w:tblGrid>
        <w:gridCol w:w="4320"/>
        <w:gridCol w:w="1120"/>
        <w:gridCol w:w="1120"/>
        <w:gridCol w:w="1120"/>
      </w:tblGrid>
      <w:tr w:rsidR="007A2BAE" w:rsidRPr="007A2BAE" w:rsidTr="007A2BAE">
        <w:trPr>
          <w:trHeight w:val="300"/>
          <w:jc w:val="center"/>
        </w:trPr>
        <w:tc>
          <w:tcPr>
            <w:tcW w:w="4320" w:type="dxa"/>
            <w:tcBorders>
              <w:top w:val="single" w:sz="4" w:space="0" w:color="auto"/>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 </w:t>
            </w:r>
          </w:p>
        </w:tc>
        <w:tc>
          <w:tcPr>
            <w:tcW w:w="1120" w:type="dxa"/>
            <w:tcBorders>
              <w:top w:val="single" w:sz="4" w:space="0" w:color="auto"/>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2011</w:t>
            </w:r>
          </w:p>
        </w:tc>
        <w:tc>
          <w:tcPr>
            <w:tcW w:w="1120" w:type="dxa"/>
            <w:tcBorders>
              <w:top w:val="single" w:sz="4" w:space="0" w:color="auto"/>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2012</w:t>
            </w:r>
          </w:p>
        </w:tc>
        <w:tc>
          <w:tcPr>
            <w:tcW w:w="1120" w:type="dxa"/>
            <w:tcBorders>
              <w:top w:val="single" w:sz="4" w:space="0" w:color="auto"/>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2013</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Av tariff (NGN/MWh)</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1,331</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1,445</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1,490</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Av tariff (US$/MWh)</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8.73</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9.25</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9.57</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Av operating profit/(loss) (NGN/MWh)</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449</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(269)</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(278)</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Av operating profit/(loss) (US$/MWh)</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2.94</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(1.72)</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(1.79)</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Net profit/(loss) (NGN millions)</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10,968</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(6,718)</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(7,005)</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Net profit/(loss) (US$ millions)</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72</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(43)</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lang w:eastAsia="en-GB"/>
              </w:rPr>
            </w:pPr>
            <w:r w:rsidRPr="007A2BAE">
              <w:rPr>
                <w:rFonts w:ascii="Calibri" w:eastAsia="Times New Roman" w:hAnsi="Calibri" w:cs="Times New Roman"/>
                <w:lang w:eastAsia="en-GB"/>
              </w:rPr>
              <w:t>(45)</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Operating margin</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29.5%</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-18.1%</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-18.2%</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Return on equity</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3.5%</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-2.2%</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-2.1%</w:t>
            </w:r>
          </w:p>
        </w:tc>
      </w:tr>
      <w:tr w:rsidR="007A2BAE" w:rsidRPr="007A2BAE" w:rsidTr="007A2BAE">
        <w:trPr>
          <w:trHeight w:val="300"/>
          <w:jc w:val="center"/>
        </w:trPr>
        <w:tc>
          <w:tcPr>
            <w:tcW w:w="4320" w:type="dxa"/>
            <w:tcBorders>
              <w:top w:val="nil"/>
              <w:left w:val="single" w:sz="4" w:space="0" w:color="auto"/>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Current ratio (times)</w:t>
            </w: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p>
        </w:tc>
        <w:tc>
          <w:tcPr>
            <w:tcW w:w="1120" w:type="dxa"/>
            <w:tcBorders>
              <w:top w:val="nil"/>
              <w:left w:val="nil"/>
              <w:bottom w:val="nil"/>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4.5</w:t>
            </w:r>
          </w:p>
        </w:tc>
        <w:tc>
          <w:tcPr>
            <w:tcW w:w="1120" w:type="dxa"/>
            <w:tcBorders>
              <w:top w:val="nil"/>
              <w:left w:val="nil"/>
              <w:bottom w:val="nil"/>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2.9</w:t>
            </w:r>
          </w:p>
        </w:tc>
      </w:tr>
      <w:tr w:rsidR="007A2BAE" w:rsidRPr="007A2BAE" w:rsidTr="007A2BAE">
        <w:trPr>
          <w:trHeight w:val="300"/>
          <w:jc w:val="center"/>
        </w:trPr>
        <w:tc>
          <w:tcPr>
            <w:tcW w:w="4320" w:type="dxa"/>
            <w:tcBorders>
              <w:top w:val="nil"/>
              <w:left w:val="single" w:sz="4" w:space="0" w:color="auto"/>
              <w:bottom w:val="single" w:sz="4" w:space="0" w:color="auto"/>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Debt/equity ratio</w:t>
            </w:r>
          </w:p>
        </w:tc>
        <w:tc>
          <w:tcPr>
            <w:tcW w:w="1120" w:type="dxa"/>
            <w:tcBorders>
              <w:top w:val="nil"/>
              <w:left w:val="nil"/>
              <w:bottom w:val="single" w:sz="4" w:space="0" w:color="auto"/>
              <w:right w:val="nil"/>
            </w:tcBorders>
            <w:shd w:val="clear" w:color="auto" w:fill="auto"/>
            <w:noWrap/>
            <w:vAlign w:val="bottom"/>
            <w:hideMark/>
          </w:tcPr>
          <w:p w:rsidR="007A2BAE" w:rsidRPr="007A2BAE" w:rsidRDefault="007A2BAE" w:rsidP="007A2BAE">
            <w:pPr>
              <w:spacing w:after="0" w:line="240" w:lineRule="auto"/>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 </w:t>
            </w:r>
          </w:p>
        </w:tc>
        <w:tc>
          <w:tcPr>
            <w:tcW w:w="1120" w:type="dxa"/>
            <w:tcBorders>
              <w:top w:val="nil"/>
              <w:left w:val="nil"/>
              <w:bottom w:val="single" w:sz="4" w:space="0" w:color="auto"/>
              <w:right w:val="nil"/>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9.0%</w:t>
            </w:r>
          </w:p>
        </w:tc>
        <w:tc>
          <w:tcPr>
            <w:tcW w:w="1120" w:type="dxa"/>
            <w:tcBorders>
              <w:top w:val="nil"/>
              <w:left w:val="nil"/>
              <w:bottom w:val="single" w:sz="4" w:space="0" w:color="auto"/>
              <w:right w:val="single" w:sz="4" w:space="0" w:color="auto"/>
            </w:tcBorders>
            <w:shd w:val="clear" w:color="auto" w:fill="auto"/>
            <w:noWrap/>
            <w:vAlign w:val="bottom"/>
            <w:hideMark/>
          </w:tcPr>
          <w:p w:rsidR="007A2BAE" w:rsidRPr="007A2BAE" w:rsidRDefault="007A2BAE" w:rsidP="007A2BAE">
            <w:pPr>
              <w:spacing w:after="0" w:line="240" w:lineRule="auto"/>
              <w:jc w:val="right"/>
              <w:rPr>
                <w:rFonts w:ascii="Calibri" w:eastAsia="Times New Roman" w:hAnsi="Calibri" w:cs="Times New Roman"/>
                <w:color w:val="000000"/>
                <w:lang w:eastAsia="en-GB"/>
              </w:rPr>
            </w:pPr>
            <w:r w:rsidRPr="007A2BAE">
              <w:rPr>
                <w:rFonts w:ascii="Calibri" w:eastAsia="Times New Roman" w:hAnsi="Calibri" w:cs="Times New Roman"/>
                <w:color w:val="000000"/>
                <w:lang w:eastAsia="en-GB"/>
              </w:rPr>
              <w:t>11.2%</w:t>
            </w:r>
          </w:p>
        </w:tc>
      </w:tr>
    </w:tbl>
    <w:p w:rsidR="00274229" w:rsidRDefault="00274229" w:rsidP="00527E19">
      <w:pPr>
        <w:pStyle w:val="Caption"/>
      </w:pPr>
    </w:p>
    <w:p w:rsidR="00A96D80" w:rsidRDefault="003046D2" w:rsidP="00527E19">
      <w:pPr>
        <w:pStyle w:val="Style1"/>
      </w:pPr>
      <w:r w:rsidRPr="00527E19">
        <w:t>Transmission tariffs were applied i</w:t>
      </w:r>
      <w:r w:rsidR="00C047FC" w:rsidRPr="00527E19">
        <w:t xml:space="preserve">n accordance with MYTO II tariffs pre-determined by NERC for the period June 2012 to May 2017. </w:t>
      </w:r>
      <w:r w:rsidR="00186E99" w:rsidRPr="00527E19">
        <w:t xml:space="preserve"> </w:t>
      </w:r>
      <w:r w:rsidR="00C047FC" w:rsidRPr="00527E19">
        <w:t xml:space="preserve">Although the revenue requirements of TCN are mostly of a fixed nature, the transmission </w:t>
      </w:r>
      <w:r w:rsidR="00C047FC" w:rsidRPr="00527E19">
        <w:lastRenderedPageBreak/>
        <w:t>tariff determined by NERC is based on the volume of bulk supply to distribution</w:t>
      </w:r>
      <w:r w:rsidR="00C047FC">
        <w:t xml:space="preserve"> companies. </w:t>
      </w:r>
      <w:r w:rsidR="00186E99">
        <w:t xml:space="preserve"> </w:t>
      </w:r>
      <w:r w:rsidR="00C047FC">
        <w:t xml:space="preserve">This means that TCN </w:t>
      </w:r>
      <w:r w:rsidR="0028520C">
        <w:t xml:space="preserve">carries an element of generation risk. </w:t>
      </w:r>
      <w:r>
        <w:t xml:space="preserve"> </w:t>
      </w:r>
      <w:r w:rsidR="0028520C">
        <w:t xml:space="preserve">The company is financially exposed due to non-availability of expected generation capacity. </w:t>
      </w:r>
      <w:r w:rsidR="00186E99">
        <w:t xml:space="preserve"> </w:t>
      </w:r>
      <w:r w:rsidR="0028520C">
        <w:t xml:space="preserve">The average transmission tariff </w:t>
      </w:r>
      <w:r w:rsidR="00F8410F">
        <w:t xml:space="preserve">increased by 11.9% compared with domestic inflation of 21.7% during the last two years to end 2013. </w:t>
      </w:r>
    </w:p>
    <w:p w:rsidR="00B35CB8" w:rsidRDefault="00B35CB8" w:rsidP="00527E19">
      <w:pPr>
        <w:pStyle w:val="Style1"/>
      </w:pPr>
      <w:r>
        <w:t xml:space="preserve">TCN made pre-tax losses of FGN13.7 billion (US$88 million) in 2012/13 with negative operative margin of around 18%, based on unaudited financial statements. </w:t>
      </w:r>
      <w:r w:rsidR="00186E99">
        <w:t xml:space="preserve"> </w:t>
      </w:r>
      <w:r>
        <w:t>The company had a low debt/equity ratio of 11% as at December 31, 2013.</w:t>
      </w:r>
    </w:p>
    <w:p w:rsidR="00F8410F" w:rsidRDefault="00740C60" w:rsidP="00527E19">
      <w:pPr>
        <w:pStyle w:val="Heading1"/>
      </w:pPr>
      <w:r>
        <w:t xml:space="preserve">Financial </w:t>
      </w:r>
      <w:r w:rsidR="008C7659">
        <w:t>Outlook 2014/15</w:t>
      </w:r>
    </w:p>
    <w:p w:rsidR="00F8410F" w:rsidRDefault="00F8410F" w:rsidP="00527E19">
      <w:pPr>
        <w:pStyle w:val="Style1"/>
      </w:pPr>
      <w:r>
        <w:t>The</w:t>
      </w:r>
      <w:r w:rsidR="00740C60">
        <w:t xml:space="preserve"> fina</w:t>
      </w:r>
      <w:r w:rsidR="008C7659">
        <w:t xml:space="preserve">ncial outlook over the next few years </w:t>
      </w:r>
      <w:r w:rsidR="00740C60">
        <w:t xml:space="preserve">will largely depend on the availability of generation capacity (and thus </w:t>
      </w:r>
      <w:r w:rsidR="00567C97">
        <w:t>wheeled energy), refurbishment of existing the transmission network in the short-term, expansion of the transmission network in the medium-term, efficiency improvements in terms of transmission losses</w:t>
      </w:r>
      <w:r w:rsidR="00290C1C">
        <w:t xml:space="preserve"> and operating expenses</w:t>
      </w:r>
      <w:r w:rsidR="00567C97">
        <w:t>, financing costs of planned investments and tariff levels</w:t>
      </w:r>
      <w:r w:rsidR="008A1224">
        <w:t xml:space="preserve"> in particular</w:t>
      </w:r>
      <w:r w:rsidR="00567C97">
        <w:t>.</w:t>
      </w:r>
    </w:p>
    <w:p w:rsidR="00902130" w:rsidRDefault="00902130" w:rsidP="00527E19">
      <w:pPr>
        <w:pStyle w:val="Heading2"/>
      </w:pPr>
      <w:r>
        <w:t>Conclusions</w:t>
      </w:r>
    </w:p>
    <w:p w:rsidR="00902130" w:rsidRPr="00C77FF7" w:rsidRDefault="00902130" w:rsidP="00527E19">
      <w:pPr>
        <w:pStyle w:val="Style1"/>
      </w:pPr>
      <w:r>
        <w:t>The</w:t>
      </w:r>
      <w:r w:rsidRPr="00902130">
        <w:t xml:space="preserve"> collected cash revenue is inadequate for TCN to embark on the req</w:t>
      </w:r>
      <w:r>
        <w:t>uired program of transformation</w:t>
      </w:r>
      <w:r w:rsidRPr="00902130">
        <w:t xml:space="preserve">.  </w:t>
      </w:r>
      <w:r>
        <w:t>For the</w:t>
      </w:r>
      <w:r w:rsidRPr="00902130">
        <w:t xml:space="preserve"> remainder of 2014 and into 2015, TCN will continue to operate under severe cash constraints</w:t>
      </w:r>
      <w:r>
        <w:t xml:space="preserve"> if the existing MYTO II tariff</w:t>
      </w:r>
      <w:r w:rsidR="00C77FF7">
        <w:t xml:space="preserve">s </w:t>
      </w:r>
      <w:r>
        <w:t>regime</w:t>
      </w:r>
      <w:r w:rsidR="00C77FF7">
        <w:t xml:space="preserve"> applied and tariffs are not revised upwards. </w:t>
      </w:r>
      <w:r w:rsidR="00C77FF7" w:rsidRPr="00C77FF7">
        <w:t>The</w:t>
      </w:r>
      <w:r w:rsidR="00C77FF7" w:rsidRPr="00C77FF7">
        <w:rPr>
          <w:lang w:val="en-CA"/>
        </w:rPr>
        <w:t xml:space="preserve"> main takeaway is that existing tariff levels and cash collections on billed revenues are much too low to fund the operational and capital expenditures necessary for TCN to adequately perform its functions.  Until the situation turns around, a minimum funding regime and strict austerity will have to be implemented</w:t>
      </w:r>
      <w:r w:rsidR="00C77FF7">
        <w:rPr>
          <w:lang w:val="en-CA"/>
        </w:rPr>
        <w:t>.</w:t>
      </w:r>
    </w:p>
    <w:p w:rsidR="00C77FF7" w:rsidRDefault="00C77FF7" w:rsidP="00527E19">
      <w:pPr>
        <w:pStyle w:val="Style1"/>
      </w:pPr>
      <w:r w:rsidRPr="00361552">
        <w:t>TCN will make an application to NERC for higher tariffs to reflect changes since 2012. These include:</w:t>
      </w:r>
    </w:p>
    <w:p w:rsidR="00C77FF7" w:rsidRPr="00902130" w:rsidRDefault="00C77FF7" w:rsidP="00BB34A1">
      <w:pPr>
        <w:pStyle w:val="bulletstyle"/>
      </w:pPr>
      <w:r w:rsidRPr="00902130">
        <w:t>Poor billing collections (MYTO II assumes 100% collections)</w:t>
      </w:r>
    </w:p>
    <w:p w:rsidR="00C77FF7" w:rsidRPr="00902130" w:rsidRDefault="00C77FF7" w:rsidP="00BB34A1">
      <w:pPr>
        <w:pStyle w:val="bulletstyle"/>
      </w:pPr>
      <w:r w:rsidRPr="00902130">
        <w:t>Much higher annual network maintenance &amp; operating requirements for proper operations</w:t>
      </w:r>
    </w:p>
    <w:p w:rsidR="00C77FF7" w:rsidRPr="00902130" w:rsidRDefault="00C77FF7" w:rsidP="00BB34A1">
      <w:pPr>
        <w:pStyle w:val="bulletstyle"/>
      </w:pPr>
      <w:r w:rsidRPr="00902130">
        <w:t>Depreciation on assets in service and returns on capital employed:</w:t>
      </w:r>
    </w:p>
    <w:p w:rsidR="00C77FF7" w:rsidRPr="00902130" w:rsidRDefault="00C77FF7" w:rsidP="00BB34A1">
      <w:pPr>
        <w:pStyle w:val="bulletstyle"/>
      </w:pPr>
      <w:r w:rsidRPr="00902130">
        <w:t>Planned heavy network investments (US$7.7 billion) to 2018</w:t>
      </w:r>
    </w:p>
    <w:p w:rsidR="00C77FF7" w:rsidRPr="00902130" w:rsidRDefault="00C77FF7" w:rsidP="00BB34A1">
      <w:pPr>
        <w:pStyle w:val="bulletstyle"/>
      </w:pPr>
      <w:r w:rsidRPr="00902130">
        <w:t>Anticipated transfer of NIPP assets (US$2.0 billion) in 2014</w:t>
      </w:r>
    </w:p>
    <w:p w:rsidR="00C77FF7" w:rsidRDefault="00C77FF7" w:rsidP="00BB34A1">
      <w:pPr>
        <w:pStyle w:val="bulletstyle"/>
      </w:pPr>
      <w:r w:rsidRPr="00902130">
        <w:t>Transfer of transmission assets (US$467 million) recorded in PHCN books</w:t>
      </w:r>
    </w:p>
    <w:p w:rsidR="00C77FF7" w:rsidRDefault="00C77FF7" w:rsidP="00BB34A1">
      <w:pPr>
        <w:pStyle w:val="bulletstyle"/>
      </w:pPr>
      <w:r w:rsidRPr="00902130">
        <w:t>Transfer of transmission assets ($147 million ) recorded in PMU books</w:t>
      </w:r>
    </w:p>
    <w:p w:rsidR="00C77FF7" w:rsidRPr="00902130" w:rsidRDefault="00C77FF7" w:rsidP="00527E19">
      <w:pPr>
        <w:pStyle w:val="Style1"/>
      </w:pPr>
      <w:r>
        <w:lastRenderedPageBreak/>
        <w:t xml:space="preserve">In view of the uncertainties concerning the outcome of the forthcoming tariff negotiations, the </w:t>
      </w:r>
      <w:r w:rsidR="00E572D3">
        <w:t>Minimum Funding</w:t>
      </w:r>
      <w:r w:rsidR="00D65DF3">
        <w:t xml:space="preserve"> </w:t>
      </w:r>
      <w:r>
        <w:t xml:space="preserve">financial projections of TCN presented in this Annex are </w:t>
      </w:r>
      <w:r w:rsidR="00D87D25">
        <w:t>limited to 2014-15.</w:t>
      </w:r>
    </w:p>
    <w:p w:rsidR="008C7659" w:rsidRDefault="008C7659" w:rsidP="00527E19">
      <w:pPr>
        <w:pStyle w:val="Heading2"/>
      </w:pPr>
      <w:r>
        <w:t>Tariffs</w:t>
      </w:r>
    </w:p>
    <w:p w:rsidR="00F73DB8" w:rsidRPr="008C7659" w:rsidRDefault="008C7659" w:rsidP="00527E19">
      <w:pPr>
        <w:pStyle w:val="Style1"/>
      </w:pPr>
      <w:r>
        <w:t xml:space="preserve">MYTO II tariffs, which were </w:t>
      </w:r>
      <w:r w:rsidR="00972043" w:rsidRPr="008C7659">
        <w:t>pre-determined by NERC for 2012-17</w:t>
      </w:r>
      <w:r>
        <w:t>,</w:t>
      </w:r>
      <w:r w:rsidR="00972043" w:rsidRPr="008C7659">
        <w:t xml:space="preserve"> are shown in</w:t>
      </w:r>
      <w:r w:rsidR="00B03CC9">
        <w:t xml:space="preserve"> </w:t>
      </w:r>
      <w:fldSimple w:instr=" REF _Ref382305255 \h ">
        <w:r w:rsidR="00B03CC9">
          <w:t xml:space="preserve">Table </w:t>
        </w:r>
        <w:r w:rsidR="00B03CC9">
          <w:rPr>
            <w:noProof/>
          </w:rPr>
          <w:t>3</w:t>
        </w:r>
      </w:fldSimple>
      <w:r w:rsidR="00B03CC9">
        <w:t xml:space="preserve"> below</w:t>
      </w:r>
      <w:r>
        <w:t xml:space="preserve">.  </w:t>
      </w:r>
      <w:r w:rsidRPr="008C7659">
        <w:rPr>
          <w:lang w:val="en-CA"/>
        </w:rPr>
        <w:t>Tariffs are revised every June 1 and the percentages changes shown are implemented as per MYTO rules. Tariffs were reduced by 6.5% effective June 2013 and are expected to be reduced by 1.6% in June 2014 and revised upwards by 9.3% &amp; 11.7% in June 2015 &amp; 2016 respectively</w:t>
      </w:r>
      <w:r>
        <w:rPr>
          <w:lang w:val="en-CA"/>
        </w:rPr>
        <w:t>.</w:t>
      </w:r>
    </w:p>
    <w:p w:rsidR="008C7659" w:rsidRPr="008C7659" w:rsidRDefault="00B03CC9" w:rsidP="00527E19">
      <w:pPr>
        <w:pStyle w:val="Caption"/>
      </w:pPr>
      <w:bookmarkStart w:id="4" w:name="_Ref382305255"/>
      <w:r>
        <w:t xml:space="preserve">Table </w:t>
      </w:r>
      <w:fldSimple w:instr=" SEQ Table \* ARABIC ">
        <w:r w:rsidR="00FF2D04">
          <w:rPr>
            <w:noProof/>
          </w:rPr>
          <w:t>3</w:t>
        </w:r>
      </w:fldSimple>
      <w:bookmarkEnd w:id="4"/>
      <w:r>
        <w:t>: MYTO II Tariffs 2012-16</w:t>
      </w:r>
    </w:p>
    <w:tbl>
      <w:tblPr>
        <w:tblW w:w="5000" w:type="pct"/>
        <w:tblLook w:val="04A0"/>
      </w:tblPr>
      <w:tblGrid>
        <w:gridCol w:w="2140"/>
        <w:gridCol w:w="2610"/>
        <w:gridCol w:w="1123"/>
        <w:gridCol w:w="1123"/>
        <w:gridCol w:w="1123"/>
        <w:gridCol w:w="1123"/>
      </w:tblGrid>
      <w:tr w:rsidR="008C7659" w:rsidRPr="008C7659" w:rsidTr="008C7659">
        <w:trPr>
          <w:trHeight w:val="300"/>
        </w:trPr>
        <w:tc>
          <w:tcPr>
            <w:tcW w:w="1390" w:type="pct"/>
            <w:tcBorders>
              <w:top w:val="single" w:sz="4" w:space="0" w:color="auto"/>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 </w:t>
            </w:r>
          </w:p>
        </w:tc>
        <w:tc>
          <w:tcPr>
            <w:tcW w:w="3610" w:type="pct"/>
            <w:gridSpan w:val="5"/>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C7659" w:rsidRPr="008C7659" w:rsidRDefault="008C7659" w:rsidP="008C7659">
            <w:pPr>
              <w:spacing w:after="0" w:line="240" w:lineRule="auto"/>
              <w:jc w:val="center"/>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MYTO II Tariffs</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 </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June 2102</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June 2103</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June 2104</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June 2105</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June 2106</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TSP wheeling charges</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1,216</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1,137</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1,119</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1,224</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1,367</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SO services</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195</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182</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179</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196</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219</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MO services</w:t>
            </w:r>
          </w:p>
        </w:tc>
        <w:tc>
          <w:tcPr>
            <w:tcW w:w="2374" w:type="pct"/>
            <w:tcBorders>
              <w:top w:val="nil"/>
              <w:left w:val="single" w:sz="4" w:space="0" w:color="auto"/>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51</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48</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47</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52</w:t>
            </w:r>
          </w:p>
        </w:tc>
        <w:tc>
          <w:tcPr>
            <w:tcW w:w="324" w:type="pct"/>
            <w:tcBorders>
              <w:top w:val="nil"/>
              <w:left w:val="nil"/>
              <w:bottom w:val="single" w:sz="4" w:space="0" w:color="auto"/>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58</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TCN charges</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1,462</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1,367</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1,346</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1,472</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1,643</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Ancilliary charges</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21</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19</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19</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21</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23</w:t>
            </w:r>
          </w:p>
        </w:tc>
      </w:tr>
      <w:tr w:rsidR="008C7659" w:rsidRPr="008C7659" w:rsidTr="008C7659">
        <w:trPr>
          <w:trHeight w:val="300"/>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NERC fees</w:t>
            </w:r>
          </w:p>
        </w:tc>
        <w:tc>
          <w:tcPr>
            <w:tcW w:w="2374" w:type="pct"/>
            <w:tcBorders>
              <w:top w:val="nil"/>
              <w:left w:val="single" w:sz="4" w:space="0" w:color="auto"/>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38</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36</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35</w:t>
            </w:r>
          </w:p>
        </w:tc>
        <w:tc>
          <w:tcPr>
            <w:tcW w:w="304" w:type="pct"/>
            <w:tcBorders>
              <w:top w:val="nil"/>
              <w:left w:val="nil"/>
              <w:bottom w:val="nil"/>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38</w:t>
            </w:r>
          </w:p>
        </w:tc>
        <w:tc>
          <w:tcPr>
            <w:tcW w:w="324" w:type="pct"/>
            <w:tcBorders>
              <w:top w:val="nil"/>
              <w:left w:val="nil"/>
              <w:bottom w:val="nil"/>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43</w:t>
            </w:r>
          </w:p>
        </w:tc>
      </w:tr>
      <w:tr w:rsidR="008C7659" w:rsidRPr="008C7659" w:rsidTr="008C7659">
        <w:trPr>
          <w:trHeight w:val="315"/>
        </w:trPr>
        <w:tc>
          <w:tcPr>
            <w:tcW w:w="1390" w:type="pct"/>
            <w:tcBorders>
              <w:top w:val="nil"/>
              <w:left w:val="single" w:sz="4" w:space="0" w:color="auto"/>
              <w:bottom w:val="nil"/>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Transmission tariff</w:t>
            </w:r>
          </w:p>
        </w:tc>
        <w:tc>
          <w:tcPr>
            <w:tcW w:w="2374" w:type="pct"/>
            <w:tcBorders>
              <w:top w:val="single" w:sz="4" w:space="0" w:color="auto"/>
              <w:left w:val="single" w:sz="4" w:space="0" w:color="auto"/>
              <w:bottom w:val="double" w:sz="6"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1,521</w:t>
            </w:r>
          </w:p>
        </w:tc>
        <w:tc>
          <w:tcPr>
            <w:tcW w:w="304" w:type="pct"/>
            <w:tcBorders>
              <w:top w:val="single" w:sz="4" w:space="0" w:color="auto"/>
              <w:left w:val="nil"/>
              <w:bottom w:val="double" w:sz="6"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1,422</w:t>
            </w:r>
          </w:p>
        </w:tc>
        <w:tc>
          <w:tcPr>
            <w:tcW w:w="304" w:type="pct"/>
            <w:tcBorders>
              <w:top w:val="single" w:sz="4" w:space="0" w:color="auto"/>
              <w:left w:val="nil"/>
              <w:bottom w:val="double" w:sz="6"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1,400</w:t>
            </w:r>
          </w:p>
        </w:tc>
        <w:tc>
          <w:tcPr>
            <w:tcW w:w="304" w:type="pct"/>
            <w:tcBorders>
              <w:top w:val="single" w:sz="4" w:space="0" w:color="auto"/>
              <w:left w:val="nil"/>
              <w:bottom w:val="double" w:sz="6"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1,531</w:t>
            </w:r>
          </w:p>
        </w:tc>
        <w:tc>
          <w:tcPr>
            <w:tcW w:w="324" w:type="pct"/>
            <w:tcBorders>
              <w:top w:val="single" w:sz="4" w:space="0" w:color="auto"/>
              <w:left w:val="nil"/>
              <w:bottom w:val="double" w:sz="6" w:space="0" w:color="auto"/>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1,709</w:t>
            </w:r>
          </w:p>
        </w:tc>
      </w:tr>
      <w:tr w:rsidR="008C7659" w:rsidRPr="008C7659" w:rsidTr="008C7659">
        <w:trPr>
          <w:trHeight w:val="315"/>
        </w:trPr>
        <w:tc>
          <w:tcPr>
            <w:tcW w:w="1390" w:type="pct"/>
            <w:tcBorders>
              <w:top w:val="nil"/>
              <w:left w:val="single" w:sz="4" w:space="0" w:color="auto"/>
              <w:bottom w:val="single" w:sz="4" w:space="0" w:color="auto"/>
              <w:right w:val="nil"/>
            </w:tcBorders>
            <w:shd w:val="clear" w:color="auto" w:fill="auto"/>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Change in tariff</w:t>
            </w:r>
          </w:p>
        </w:tc>
        <w:tc>
          <w:tcPr>
            <w:tcW w:w="2374" w:type="pct"/>
            <w:tcBorders>
              <w:top w:val="nil"/>
              <w:left w:val="single" w:sz="4" w:space="0" w:color="auto"/>
              <w:bottom w:val="single" w:sz="4" w:space="0" w:color="auto"/>
              <w:right w:val="nil"/>
            </w:tcBorders>
            <w:shd w:val="clear" w:color="000000" w:fill="D9D9D9"/>
            <w:noWrap/>
            <w:vAlign w:val="bottom"/>
            <w:hideMark/>
          </w:tcPr>
          <w:p w:rsidR="008C7659" w:rsidRPr="008C7659" w:rsidRDefault="008C7659" w:rsidP="008C7659">
            <w:pPr>
              <w:spacing w:after="0" w:line="240" w:lineRule="auto"/>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 </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-6.5%</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-1.6%</w:t>
            </w:r>
          </w:p>
        </w:tc>
        <w:tc>
          <w:tcPr>
            <w:tcW w:w="304" w:type="pct"/>
            <w:tcBorders>
              <w:top w:val="nil"/>
              <w:left w:val="nil"/>
              <w:bottom w:val="single" w:sz="4" w:space="0" w:color="auto"/>
              <w:right w:val="nil"/>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9.3%</w:t>
            </w:r>
          </w:p>
        </w:tc>
        <w:tc>
          <w:tcPr>
            <w:tcW w:w="324" w:type="pct"/>
            <w:tcBorders>
              <w:top w:val="nil"/>
              <w:left w:val="nil"/>
              <w:bottom w:val="single" w:sz="4" w:space="0" w:color="auto"/>
              <w:right w:val="single" w:sz="4" w:space="0" w:color="auto"/>
            </w:tcBorders>
            <w:shd w:val="clear" w:color="000000" w:fill="D9D9D9"/>
            <w:noWrap/>
            <w:vAlign w:val="bottom"/>
            <w:hideMark/>
          </w:tcPr>
          <w:p w:rsidR="008C7659" w:rsidRPr="008C7659" w:rsidRDefault="008C7659" w:rsidP="008C7659">
            <w:pPr>
              <w:spacing w:after="0" w:line="240" w:lineRule="auto"/>
              <w:jc w:val="right"/>
              <w:rPr>
                <w:rFonts w:ascii="Calibri" w:eastAsia="Times New Roman" w:hAnsi="Calibri" w:cs="Times New Roman"/>
                <w:color w:val="000000"/>
                <w:lang w:eastAsia="en-GB"/>
              </w:rPr>
            </w:pPr>
            <w:r w:rsidRPr="008C7659">
              <w:rPr>
                <w:rFonts w:ascii="Calibri" w:eastAsia="Times New Roman" w:hAnsi="Calibri" w:cs="Times New Roman"/>
                <w:color w:val="000000"/>
                <w:lang w:eastAsia="en-GB"/>
              </w:rPr>
              <w:t>11.7%</w:t>
            </w:r>
          </w:p>
        </w:tc>
      </w:tr>
    </w:tbl>
    <w:p w:rsidR="00902130" w:rsidRDefault="00D87D25" w:rsidP="00527E19">
      <w:pPr>
        <w:pStyle w:val="Style1"/>
      </w:pPr>
      <w:r>
        <w:t>The above tariffs have been assumed in the projected financial outcomes presented in this Annex.</w:t>
      </w:r>
    </w:p>
    <w:p w:rsidR="00567C97" w:rsidRDefault="00D65DF3" w:rsidP="00527E19">
      <w:pPr>
        <w:pStyle w:val="Heading2"/>
      </w:pPr>
      <w:r>
        <w:t>Key Performance Indicators 2014-15</w:t>
      </w:r>
    </w:p>
    <w:p w:rsidR="00BB43F1" w:rsidRDefault="008A47E8" w:rsidP="00527E19">
      <w:pPr>
        <w:pStyle w:val="Style1"/>
      </w:pPr>
      <w:r>
        <w:rPr>
          <w:lang w:val="en-CA" w:eastAsia="en-CA"/>
        </w:rPr>
        <w:fldChar w:fldCharType="begin"/>
      </w:r>
      <w:r w:rsidR="00BB43F1">
        <w:rPr>
          <w:lang w:val="en-CA" w:eastAsia="en-CA"/>
        </w:rPr>
        <w:instrText xml:space="preserve"> REF _Ref382311046 \h </w:instrText>
      </w:r>
      <w:r>
        <w:rPr>
          <w:lang w:val="en-CA" w:eastAsia="en-CA"/>
        </w:rPr>
      </w:r>
      <w:r>
        <w:rPr>
          <w:lang w:val="en-CA" w:eastAsia="en-CA"/>
        </w:rPr>
        <w:fldChar w:fldCharType="separate"/>
      </w:r>
      <w:r w:rsidR="00BB43F1">
        <w:t xml:space="preserve">Table </w:t>
      </w:r>
      <w:r w:rsidR="00BB43F1">
        <w:rPr>
          <w:noProof/>
        </w:rPr>
        <w:t>4</w:t>
      </w:r>
      <w:r>
        <w:rPr>
          <w:lang w:val="en-CA" w:eastAsia="en-CA"/>
        </w:rPr>
        <w:fldChar w:fldCharType="end"/>
      </w:r>
      <w:r w:rsidR="00BB43F1">
        <w:rPr>
          <w:lang w:val="en-CA" w:eastAsia="en-CA"/>
        </w:rPr>
        <w:t xml:space="preserve"> </w:t>
      </w:r>
      <w:r w:rsidR="00BB43F1" w:rsidRPr="00BB43F1">
        <w:rPr>
          <w:lang w:val="en-CA"/>
        </w:rPr>
        <w:t>below provides a summary of energy wheeled</w:t>
      </w:r>
      <w:r w:rsidR="00BB43F1">
        <w:rPr>
          <w:lang w:val="en-CA"/>
        </w:rPr>
        <w:t xml:space="preserve">, </w:t>
      </w:r>
      <w:r w:rsidR="00BB43F1" w:rsidRPr="00BB43F1">
        <w:rPr>
          <w:lang w:val="en-CA"/>
        </w:rPr>
        <w:t>revenues, operating costs, capital investments funded from internally generated revenues (IGR) and cash flows</w:t>
      </w:r>
      <w:r w:rsidR="00BB43F1">
        <w:rPr>
          <w:lang w:val="en-CA"/>
        </w:rPr>
        <w:t xml:space="preserve"> under the </w:t>
      </w:r>
      <w:r w:rsidR="00E572D3">
        <w:rPr>
          <w:lang w:val="en-CA"/>
        </w:rPr>
        <w:t>Minimum Funding</w:t>
      </w:r>
      <w:r w:rsidR="00BB43F1">
        <w:rPr>
          <w:lang w:val="en-CA"/>
        </w:rPr>
        <w:t xml:space="preserve"> projections </w:t>
      </w:r>
      <w:r w:rsidR="00BB43F1" w:rsidRPr="00BB43F1">
        <w:rPr>
          <w:lang w:val="en-CA"/>
        </w:rPr>
        <w:t>for 2014-15</w:t>
      </w:r>
      <w:r w:rsidR="00BB43F1">
        <w:rPr>
          <w:lang w:val="en-CA"/>
        </w:rPr>
        <w:t xml:space="preserve"> together with estimated </w:t>
      </w:r>
      <w:proofErr w:type="spellStart"/>
      <w:r w:rsidR="00BB43F1">
        <w:rPr>
          <w:lang w:val="en-CA"/>
        </w:rPr>
        <w:t>actuals</w:t>
      </w:r>
      <w:proofErr w:type="spellEnd"/>
      <w:r w:rsidR="00BB43F1">
        <w:rPr>
          <w:lang w:val="en-CA"/>
        </w:rPr>
        <w:t xml:space="preserve"> for 2013.</w:t>
      </w:r>
    </w:p>
    <w:p w:rsidR="00BB43F1" w:rsidRDefault="00BB43F1" w:rsidP="00527E19">
      <w:pPr>
        <w:pStyle w:val="Caption"/>
        <w:keepNext/>
      </w:pPr>
      <w:bookmarkStart w:id="5" w:name="_Ref382311046"/>
      <w:r>
        <w:lastRenderedPageBreak/>
        <w:t xml:space="preserve">Table </w:t>
      </w:r>
      <w:fldSimple w:instr=" SEQ Table \* ARABIC ">
        <w:r w:rsidR="00FF2D04">
          <w:rPr>
            <w:noProof/>
          </w:rPr>
          <w:t>4</w:t>
        </w:r>
      </w:fldSimple>
      <w:bookmarkEnd w:id="5"/>
      <w:r>
        <w:t>: Energy, Revenues &amp; Cash Flows 2013-15</w:t>
      </w:r>
    </w:p>
    <w:tbl>
      <w:tblPr>
        <w:tblW w:w="8460" w:type="dxa"/>
        <w:tblInd w:w="-5" w:type="dxa"/>
        <w:tblLook w:val="04A0"/>
      </w:tblPr>
      <w:tblGrid>
        <w:gridCol w:w="4620"/>
        <w:gridCol w:w="1120"/>
        <w:gridCol w:w="2240"/>
        <w:gridCol w:w="829"/>
      </w:tblGrid>
      <w:tr w:rsidR="00315AC8" w:rsidRPr="00315AC8" w:rsidTr="00315AC8">
        <w:trPr>
          <w:trHeight w:val="300"/>
        </w:trPr>
        <w:tc>
          <w:tcPr>
            <w:tcW w:w="4620" w:type="dxa"/>
            <w:tcBorders>
              <w:top w:val="single" w:sz="4" w:space="0" w:color="auto"/>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1120" w:type="dxa"/>
            <w:tcBorders>
              <w:top w:val="single" w:sz="4" w:space="0" w:color="auto"/>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center"/>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Est Actual</w:t>
            </w:r>
          </w:p>
        </w:tc>
        <w:tc>
          <w:tcPr>
            <w:tcW w:w="2720" w:type="dxa"/>
            <w:gridSpan w:val="2"/>
            <w:tcBorders>
              <w:top w:val="single" w:sz="4" w:space="0" w:color="auto"/>
              <w:left w:val="nil"/>
              <w:bottom w:val="nil"/>
              <w:right w:val="single" w:sz="4" w:space="0" w:color="000000"/>
            </w:tcBorders>
            <w:shd w:val="clear" w:color="000000" w:fill="D9D9D9"/>
            <w:noWrap/>
            <w:vAlign w:val="bottom"/>
            <w:hideMark/>
          </w:tcPr>
          <w:p w:rsidR="00315AC8" w:rsidRPr="00315AC8" w:rsidRDefault="00315AC8" w:rsidP="00527E19">
            <w:pPr>
              <w:keepNext/>
              <w:spacing w:after="0" w:line="240" w:lineRule="auto"/>
              <w:jc w:val="center"/>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Minimum Funding</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720" w:type="dxa"/>
            <w:gridSpan w:val="2"/>
            <w:tcBorders>
              <w:top w:val="nil"/>
              <w:left w:val="nil"/>
              <w:bottom w:val="nil"/>
              <w:right w:val="single" w:sz="4" w:space="0" w:color="000000"/>
            </w:tcBorders>
            <w:shd w:val="clear" w:color="000000" w:fill="D9D9D9"/>
            <w:noWrap/>
            <w:vAlign w:val="bottom"/>
            <w:hideMark/>
          </w:tcPr>
          <w:p w:rsidR="00315AC8" w:rsidRPr="00315AC8" w:rsidRDefault="00315AC8" w:rsidP="00527E19">
            <w:pPr>
              <w:keepNext/>
              <w:spacing w:after="0" w:line="240" w:lineRule="auto"/>
              <w:jc w:val="center"/>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MYTO II Tariffs</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2013</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2014</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2015</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Energy</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Transmission losses</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12.1%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10.0%</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9.5%</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Bulk supply to DisCos (GWh)</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25,373</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31,895</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33,172</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Growth in bulk supply</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0.0%</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22.7%</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3.4%</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Tariffs (excl Ancilliary &amp; NERC charges)</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Date of tariff increase</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June 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June 1</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June 1</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Tariff increase</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-6.5%</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-1.6%</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9.3%</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Average tariff after increase (NGN/MWh)</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1,367</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1,346</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1,472</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Average tariff in year (NGN/MWh)</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1,432</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1,355</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1,419</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u w:val="single"/>
                <w:lang w:eastAsia="en-GB"/>
              </w:rPr>
            </w:pPr>
            <w:r w:rsidRPr="00315AC8">
              <w:rPr>
                <w:rFonts w:ascii="Calibri" w:eastAsia="Times New Roman" w:hAnsi="Calibri" w:cs="Times New Roman"/>
                <w:color w:val="000000"/>
                <w:u w:val="single"/>
                <w:lang w:eastAsia="en-GB"/>
              </w:rPr>
              <w:t>All figures in NGN billions</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Wheeling revenue:</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Billed</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36.3</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43.2</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47.1</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Collected</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22.1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21.6</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34.8</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collected/billed</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61%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51%</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75%</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Operating costs</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24.8</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27.2</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30.6</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Capital expenditure from IGR</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2.1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0.9</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4.0</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Incr/(decr) in inventory</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(4.5)</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(1.4)</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0.0</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lang w:eastAsia="en-GB"/>
              </w:rPr>
            </w:pPr>
            <w:r w:rsidRPr="00315AC8">
              <w:rPr>
                <w:rFonts w:ascii="Calibri" w:eastAsia="Times New Roman" w:hAnsi="Calibri" w:cs="Times New Roman"/>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lang w:eastAsia="en-GB"/>
              </w:rPr>
            </w:pPr>
            <w:r w:rsidRPr="00315AC8">
              <w:rPr>
                <w:rFonts w:ascii="Calibri" w:eastAsia="Times New Roman" w:hAnsi="Calibri" w:cs="Times New Roman"/>
                <w:lang w:eastAsia="en-GB"/>
              </w:rPr>
              <w:t> </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rPr>
                <w:rFonts w:ascii="Calibri" w:eastAsia="Times New Roman" w:hAnsi="Calibri" w:cs="Times New Roman"/>
                <w:lang w:eastAsia="en-GB"/>
              </w:rPr>
            </w:pPr>
            <w:r w:rsidRPr="00315AC8">
              <w:rPr>
                <w:rFonts w:ascii="Calibri" w:eastAsia="Times New Roman" w:hAnsi="Calibri" w:cs="Times New Roman"/>
                <w:lang w:eastAsia="en-GB"/>
              </w:rPr>
              <w:t> </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Net cash inflow/(outflow)</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1.1</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(6.7)</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0.2</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Cash balance at Dec 31:</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0</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0</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0</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As forecast</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8.4</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1.7</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1.9</w:t>
            </w:r>
          </w:p>
        </w:tc>
      </w:tr>
      <w:tr w:rsidR="00315AC8" w:rsidRPr="00315AC8" w:rsidTr="00315AC8">
        <w:trPr>
          <w:trHeight w:val="300"/>
        </w:trPr>
        <w:tc>
          <w:tcPr>
            <w:tcW w:w="4620" w:type="dxa"/>
            <w:tcBorders>
              <w:top w:val="nil"/>
              <w:left w:val="single" w:sz="4" w:space="0" w:color="auto"/>
              <w:bottom w:val="nil"/>
              <w:right w:val="nil"/>
            </w:tcBorders>
            <w:shd w:val="clear" w:color="auto" w:fill="auto"/>
            <w:noWrap/>
            <w:vAlign w:val="bottom"/>
            <w:hideMark/>
          </w:tcPr>
          <w:p w:rsidR="00315AC8" w:rsidRPr="00315AC8" w:rsidRDefault="00315AC8" w:rsidP="00527E19">
            <w:pPr>
              <w:keepNext/>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Minimum required</w:t>
            </w:r>
          </w:p>
        </w:tc>
        <w:tc>
          <w:tcPr>
            <w:tcW w:w="1120" w:type="dxa"/>
            <w:tcBorders>
              <w:top w:val="nil"/>
              <w:left w:val="single" w:sz="4" w:space="0" w:color="auto"/>
              <w:bottom w:val="nil"/>
              <w:right w:val="single" w:sz="4" w:space="0" w:color="auto"/>
            </w:tcBorders>
            <w:shd w:val="clear" w:color="000000" w:fill="F2F2F2"/>
            <w:noWrap/>
            <w:vAlign w:val="bottom"/>
            <w:hideMark/>
          </w:tcPr>
          <w:p w:rsidR="00315AC8" w:rsidRPr="00315AC8" w:rsidRDefault="00315AC8" w:rsidP="00527E19">
            <w:pPr>
              <w:keepNext/>
              <w:spacing w:after="0" w:line="240" w:lineRule="auto"/>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 </w:t>
            </w:r>
          </w:p>
        </w:tc>
        <w:tc>
          <w:tcPr>
            <w:tcW w:w="2240" w:type="dxa"/>
            <w:tcBorders>
              <w:top w:val="nil"/>
              <w:left w:val="nil"/>
              <w:bottom w:val="nil"/>
              <w:right w:val="nil"/>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1.7</w:t>
            </w:r>
          </w:p>
        </w:tc>
        <w:tc>
          <w:tcPr>
            <w:tcW w:w="480" w:type="dxa"/>
            <w:tcBorders>
              <w:top w:val="nil"/>
              <w:left w:val="nil"/>
              <w:bottom w:val="nil"/>
              <w:right w:val="single" w:sz="4" w:space="0" w:color="auto"/>
            </w:tcBorders>
            <w:shd w:val="clear" w:color="000000" w:fill="D9D9D9"/>
            <w:noWrap/>
            <w:vAlign w:val="bottom"/>
            <w:hideMark/>
          </w:tcPr>
          <w:p w:rsidR="00315AC8" w:rsidRPr="00315AC8" w:rsidRDefault="00315AC8" w:rsidP="00527E19">
            <w:pPr>
              <w:keepNext/>
              <w:spacing w:after="0" w:line="240" w:lineRule="auto"/>
              <w:jc w:val="right"/>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1.9</w:t>
            </w:r>
          </w:p>
        </w:tc>
      </w:tr>
      <w:tr w:rsidR="00315AC8" w:rsidRPr="00315AC8" w:rsidTr="00315AC8">
        <w:trPr>
          <w:trHeight w:val="300"/>
        </w:trPr>
        <w:tc>
          <w:tcPr>
            <w:tcW w:w="4620" w:type="dxa"/>
            <w:tcBorders>
              <w:top w:val="nil"/>
              <w:left w:val="single" w:sz="4" w:space="0" w:color="auto"/>
              <w:bottom w:val="single" w:sz="4" w:space="0" w:color="auto"/>
              <w:right w:val="nil"/>
            </w:tcBorders>
            <w:shd w:val="clear" w:color="auto" w:fill="auto"/>
            <w:noWrap/>
            <w:vAlign w:val="bottom"/>
            <w:hideMark/>
          </w:tcPr>
          <w:p w:rsidR="00315AC8" w:rsidRPr="00315AC8" w:rsidRDefault="00315AC8" w:rsidP="00315AC8">
            <w:pPr>
              <w:spacing w:after="0" w:line="240" w:lineRule="auto"/>
              <w:ind w:firstLineChars="100" w:firstLine="220"/>
              <w:rPr>
                <w:rFonts w:ascii="Calibri" w:eastAsia="Times New Roman" w:hAnsi="Calibri" w:cs="Times New Roman"/>
                <w:color w:val="000000"/>
                <w:lang w:eastAsia="en-GB"/>
              </w:rPr>
            </w:pPr>
            <w:r w:rsidRPr="00315AC8">
              <w:rPr>
                <w:rFonts w:ascii="Calibri" w:eastAsia="Times New Roman" w:hAnsi="Calibri" w:cs="Times New Roman"/>
                <w:color w:val="000000"/>
                <w:lang w:eastAsia="en-GB"/>
              </w:rPr>
              <w:t>Cash surplus/(shortfall)</w:t>
            </w:r>
          </w:p>
        </w:tc>
        <w:tc>
          <w:tcPr>
            <w:tcW w:w="1120" w:type="dxa"/>
            <w:tcBorders>
              <w:top w:val="nil"/>
              <w:left w:val="single" w:sz="4" w:space="0" w:color="auto"/>
              <w:bottom w:val="single" w:sz="4" w:space="0" w:color="auto"/>
              <w:right w:val="single" w:sz="4" w:space="0" w:color="auto"/>
            </w:tcBorders>
            <w:shd w:val="clear" w:color="000000" w:fill="F2F2F2"/>
            <w:noWrap/>
            <w:vAlign w:val="bottom"/>
            <w:hideMark/>
          </w:tcPr>
          <w:p w:rsidR="00315AC8" w:rsidRPr="00315AC8" w:rsidRDefault="00315AC8" w:rsidP="00315AC8">
            <w:pPr>
              <w:spacing w:after="0" w:line="240" w:lineRule="auto"/>
              <w:rPr>
                <w:rFonts w:ascii="Calibri" w:eastAsia="Times New Roman" w:hAnsi="Calibri" w:cs="Times New Roman"/>
                <w:lang w:eastAsia="en-GB"/>
              </w:rPr>
            </w:pPr>
            <w:r w:rsidRPr="00315AC8">
              <w:rPr>
                <w:rFonts w:ascii="Calibri" w:eastAsia="Times New Roman" w:hAnsi="Calibri" w:cs="Times New Roman"/>
                <w:lang w:eastAsia="en-GB"/>
              </w:rPr>
              <w:t> </w:t>
            </w:r>
          </w:p>
        </w:tc>
        <w:tc>
          <w:tcPr>
            <w:tcW w:w="2240" w:type="dxa"/>
            <w:tcBorders>
              <w:top w:val="nil"/>
              <w:left w:val="nil"/>
              <w:bottom w:val="single" w:sz="4" w:space="0" w:color="auto"/>
              <w:right w:val="nil"/>
            </w:tcBorders>
            <w:shd w:val="clear" w:color="000000" w:fill="D9D9D9"/>
            <w:noWrap/>
            <w:vAlign w:val="bottom"/>
            <w:hideMark/>
          </w:tcPr>
          <w:p w:rsidR="00315AC8" w:rsidRPr="00315AC8" w:rsidRDefault="00315AC8" w:rsidP="00315AC8">
            <w:pPr>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0.0</w:t>
            </w:r>
          </w:p>
        </w:tc>
        <w:tc>
          <w:tcPr>
            <w:tcW w:w="480" w:type="dxa"/>
            <w:tcBorders>
              <w:top w:val="nil"/>
              <w:left w:val="nil"/>
              <w:bottom w:val="single" w:sz="4" w:space="0" w:color="auto"/>
              <w:right w:val="single" w:sz="4" w:space="0" w:color="auto"/>
            </w:tcBorders>
            <w:shd w:val="clear" w:color="000000" w:fill="D9D9D9"/>
            <w:noWrap/>
            <w:vAlign w:val="bottom"/>
            <w:hideMark/>
          </w:tcPr>
          <w:p w:rsidR="00315AC8" w:rsidRPr="00315AC8" w:rsidRDefault="00315AC8" w:rsidP="00315AC8">
            <w:pPr>
              <w:spacing w:after="0" w:line="240" w:lineRule="auto"/>
              <w:jc w:val="right"/>
              <w:rPr>
                <w:rFonts w:ascii="Calibri" w:eastAsia="Times New Roman" w:hAnsi="Calibri" w:cs="Times New Roman"/>
                <w:lang w:eastAsia="en-GB"/>
              </w:rPr>
            </w:pPr>
            <w:r w:rsidRPr="00315AC8">
              <w:rPr>
                <w:rFonts w:ascii="Calibri" w:eastAsia="Times New Roman" w:hAnsi="Calibri" w:cs="Times New Roman"/>
                <w:lang w:eastAsia="en-GB"/>
              </w:rPr>
              <w:t>0.0</w:t>
            </w:r>
          </w:p>
        </w:tc>
      </w:tr>
    </w:tbl>
    <w:p w:rsidR="00BB43F1" w:rsidRDefault="00BB43F1" w:rsidP="00527E19">
      <w:pPr>
        <w:pStyle w:val="Style1"/>
      </w:pPr>
      <w:r>
        <w:t>The following observations can be made concerning the figures shown in the foregoing table:</w:t>
      </w:r>
    </w:p>
    <w:p w:rsidR="004E2885" w:rsidRDefault="004E2885" w:rsidP="00527E19">
      <w:pPr>
        <w:pStyle w:val="bulletstyle"/>
      </w:pPr>
      <w:r w:rsidRPr="00527E19">
        <w:t xml:space="preserve">Energy wheeled is forecast on the basis of constrained gas supply. The increase in bulk supply to </w:t>
      </w:r>
      <w:proofErr w:type="spellStart"/>
      <w:r w:rsidRPr="00527E19">
        <w:t>DisCos</w:t>
      </w:r>
      <w:proofErr w:type="spellEnd"/>
      <w:r w:rsidRPr="00527E19">
        <w:t xml:space="preserve"> is projected to increase by 22.7% in 2014 and by 3.4% in 2015. The</w:t>
      </w:r>
      <w:r>
        <w:t xml:space="preserve"> increases are due to a combination of additional generation capacities coming online and reduction in transmission losses. The energy losses are projected to decline by 2% in 2014 by targeting non-technical losses (i.e. theft by some major industrial consumers) and investments in the refurbishment of the network, a modest reduction of 0.5% is assumed in 2015.</w:t>
      </w:r>
    </w:p>
    <w:p w:rsidR="004E2885" w:rsidRDefault="004E2885" w:rsidP="00527E19">
      <w:pPr>
        <w:pStyle w:val="bulletstyle"/>
        <w:numPr>
          <w:ilvl w:val="0"/>
          <w:numId w:val="0"/>
        </w:numPr>
        <w:ind w:left="900"/>
      </w:pPr>
    </w:p>
    <w:p w:rsidR="004E2885" w:rsidRDefault="00315AC8" w:rsidP="00527E19">
      <w:pPr>
        <w:pStyle w:val="bulletstyle"/>
      </w:pPr>
      <w:r w:rsidRPr="00315AC8">
        <w:rPr>
          <w:lang w:val="en-CA"/>
        </w:rPr>
        <w:t>MYTO II tariffs are revised every June 1 and the percentage changes shown are implemented as per MYTO order. It should be noted that tariffs were reduced by 6.5% effective June 1, 2013 and are expected to be reduced by 1.6% effective June 1, 2014.  MYTO II tariffs are expected to be revised upwards by 9.3% effective June 1, 2015.</w:t>
      </w:r>
    </w:p>
    <w:p w:rsidR="004E2885" w:rsidRDefault="004E2885" w:rsidP="00527E19">
      <w:pPr>
        <w:pStyle w:val="bulletstyle"/>
        <w:numPr>
          <w:ilvl w:val="0"/>
          <w:numId w:val="0"/>
        </w:numPr>
        <w:ind w:left="900"/>
      </w:pPr>
    </w:p>
    <w:p w:rsidR="00315AC8" w:rsidRDefault="00315AC8" w:rsidP="00527E19">
      <w:pPr>
        <w:pStyle w:val="bulletstyle"/>
      </w:pPr>
      <w:r w:rsidRPr="00315AC8">
        <w:rPr>
          <w:lang w:val="en-CA"/>
        </w:rPr>
        <w:t xml:space="preserve">Billing collection rates are assumed under all scenarios at 45% from January to July 2014, 60% from August to December 2014 and 75% in 2015. The 45% figure represents the fact that retail billing collections by </w:t>
      </w:r>
      <w:proofErr w:type="spellStart"/>
      <w:r w:rsidRPr="00315AC8">
        <w:rPr>
          <w:lang w:val="en-CA"/>
        </w:rPr>
        <w:t>DisCos</w:t>
      </w:r>
      <w:proofErr w:type="spellEnd"/>
      <w:r w:rsidRPr="00315AC8">
        <w:rPr>
          <w:lang w:val="en-CA"/>
        </w:rPr>
        <w:t xml:space="preserve"> have dropped to 45% in the last two months and this will impact on all the Market Participants and Service Providers, including TCN.  Non-collection of tariff charges is a persistent problem for TCN.  The Interim Market Rules (pre-TEM), which provide for collection of 70% for TSP and 60% for SO and MO effective November 2013, have not been followed to date.   The overall average collection rate in 2013 was around 61%</w:t>
      </w:r>
    </w:p>
    <w:p w:rsidR="00315AC8" w:rsidRDefault="00315AC8" w:rsidP="00527E19">
      <w:pPr>
        <w:pStyle w:val="bulletstyle"/>
        <w:numPr>
          <w:ilvl w:val="0"/>
          <w:numId w:val="0"/>
        </w:numPr>
        <w:ind w:left="900"/>
      </w:pPr>
    </w:p>
    <w:p w:rsidR="004E2885" w:rsidRDefault="00315AC8" w:rsidP="00527E19">
      <w:pPr>
        <w:pStyle w:val="bulletstyle"/>
      </w:pPr>
      <w:r w:rsidRPr="00315AC8">
        <w:rPr>
          <w:lang w:val="en-CA"/>
        </w:rPr>
        <w:t>TCN’s collected revenue varies directly with the amount of energy wheeled, whereas TCN’s</w:t>
      </w:r>
      <w:r>
        <w:rPr>
          <w:lang w:val="en-CA"/>
        </w:rPr>
        <w:t xml:space="preserve"> costs are nearly 100% fixed.  </w:t>
      </w:r>
      <w:r w:rsidRPr="00315AC8">
        <w:rPr>
          <w:lang w:val="en-CA"/>
        </w:rPr>
        <w:t xml:space="preserve">Under the existing tariff levels and collection rates, the energy wheeled would need to be more than double the current amount to generate enough cash for proper funding of the business.  </w:t>
      </w:r>
      <w:fldSimple w:instr=" REF _Ref382385354 \h  \* MERGEFORMAT ">
        <w:r w:rsidR="009371E6">
          <w:t xml:space="preserve">Table </w:t>
        </w:r>
        <w:r w:rsidR="009371E6">
          <w:rPr>
            <w:noProof/>
          </w:rPr>
          <w:t>5</w:t>
        </w:r>
      </w:fldSimple>
      <w:r w:rsidR="009371E6">
        <w:rPr>
          <w:lang w:val="en-CA"/>
        </w:rPr>
        <w:t xml:space="preserve"> below </w:t>
      </w:r>
      <w:r w:rsidRPr="00315AC8">
        <w:rPr>
          <w:lang w:val="en-CA"/>
        </w:rPr>
        <w:t>provides a sensitivity showing the change in cash flows for changes to the amount of wheeled energy.</w:t>
      </w:r>
    </w:p>
    <w:p w:rsidR="00BB43F1" w:rsidRDefault="004E2885" w:rsidP="00527E19">
      <w:pPr>
        <w:pStyle w:val="Style1"/>
      </w:pPr>
      <w:r>
        <w:t>Operating costs and investments funded from internally generated revenues (IGR</w:t>
      </w:r>
      <w:r w:rsidR="005D09A6">
        <w:t>)</w:t>
      </w:r>
      <w:r>
        <w:t xml:space="preserve"> have had to be scaled back significantly to levels that are affordable in terms of forecast cash inflows under the </w:t>
      </w:r>
      <w:r w:rsidR="00E572D3">
        <w:t>Minimum Funding</w:t>
      </w:r>
      <w:r w:rsidR="005D09A6">
        <w:t xml:space="preserve"> budgets</w:t>
      </w:r>
      <w:r>
        <w:t>. Required minimum cash balances are maintained in 2014-15.</w:t>
      </w:r>
    </w:p>
    <w:p w:rsidR="003E6E0C" w:rsidRDefault="005D09A6" w:rsidP="00527E19">
      <w:pPr>
        <w:pStyle w:val="Style1"/>
      </w:pPr>
      <w:r w:rsidRPr="005D09A6">
        <w:rPr>
          <w:lang w:val="en-CA"/>
        </w:rPr>
        <w:t>TCN will have to operate under a tight financial regime or risk defaulting on cash obligations.  Net cash outflows of NGN6,704 million in 2014 are forecast under the Minimum Funding</w:t>
      </w:r>
      <w:r>
        <w:rPr>
          <w:lang w:val="en-CA"/>
        </w:rPr>
        <w:t xml:space="preserve"> budgets</w:t>
      </w:r>
      <w:r w:rsidRPr="005D09A6">
        <w:rPr>
          <w:lang w:val="en-CA"/>
        </w:rPr>
        <w:t xml:space="preserve"> (MYTO II tariffs) and the cash balance by December 2014 declines to NGN1,731 million, which is equal to the minimum requirement</w:t>
      </w:r>
      <w:r>
        <w:rPr>
          <w:lang w:val="en-CA"/>
        </w:rPr>
        <w:t>.</w:t>
      </w:r>
    </w:p>
    <w:p w:rsidR="00AF496D" w:rsidRDefault="00AF496D" w:rsidP="00527E19">
      <w:pPr>
        <w:pStyle w:val="Heading2"/>
      </w:pPr>
      <w:r>
        <w:t>Sensitivities</w:t>
      </w:r>
      <w:r w:rsidR="005D09A6">
        <w:t xml:space="preserve"> to Minimum Funding Budgets</w:t>
      </w:r>
    </w:p>
    <w:p w:rsidR="00AF496D" w:rsidRDefault="00AF496D" w:rsidP="00527E19">
      <w:pPr>
        <w:pStyle w:val="Style1"/>
      </w:pPr>
      <w:r>
        <w:t>The</w:t>
      </w:r>
      <w:r w:rsidR="00FF2D04" w:rsidRPr="00FF2D04">
        <w:t xml:space="preserve"> </w:t>
      </w:r>
      <w:r w:rsidR="00FF2D04">
        <w:t xml:space="preserve">Minimum Funding cash flows </w:t>
      </w:r>
      <w:r w:rsidR="00FF2D04" w:rsidRPr="000B1503">
        <w:t>presented above were subjected to several key sensitivity tests and the results of these sensitivities are presented in</w:t>
      </w:r>
      <w:r w:rsidR="00FF2D04">
        <w:t xml:space="preserve"> </w:t>
      </w:r>
      <w:fldSimple w:instr=" REF _Ref382385354 \h ">
        <w:r w:rsidR="00FF2D04">
          <w:t xml:space="preserve">Table </w:t>
        </w:r>
        <w:r w:rsidR="00FF2D04">
          <w:rPr>
            <w:noProof/>
          </w:rPr>
          <w:t>5</w:t>
        </w:r>
      </w:fldSimple>
      <w:r w:rsidR="00FF2D04">
        <w:t xml:space="preserve"> below.</w:t>
      </w:r>
    </w:p>
    <w:p w:rsidR="00FF2D04" w:rsidRDefault="00FF2D04" w:rsidP="00527E19">
      <w:pPr>
        <w:pStyle w:val="Caption"/>
        <w:keepNext/>
      </w:pPr>
      <w:bookmarkStart w:id="6" w:name="_Ref382385354"/>
      <w:bookmarkStart w:id="7" w:name="_Ref382385347"/>
      <w:r>
        <w:lastRenderedPageBreak/>
        <w:t xml:space="preserve">Table </w:t>
      </w:r>
      <w:fldSimple w:instr=" SEQ Table \* ARABIC ">
        <w:r>
          <w:rPr>
            <w:noProof/>
          </w:rPr>
          <w:t>5</w:t>
        </w:r>
      </w:fldSimple>
      <w:bookmarkEnd w:id="6"/>
      <w:r>
        <w:t>: Cash Flow Impacts of Key Sensitivities 2014-15</w:t>
      </w:r>
      <w:bookmarkEnd w:id="7"/>
    </w:p>
    <w:p w:rsidR="00FF2D04" w:rsidRDefault="00FF2D04" w:rsidP="00527E19">
      <w:pPr>
        <w:jc w:val="center"/>
      </w:pPr>
      <w:r w:rsidRPr="00FF2D04">
        <w:rPr>
          <w:noProof/>
          <w:lang w:val="en-US"/>
        </w:rPr>
        <w:drawing>
          <wp:inline distT="0" distB="0" distL="0" distR="0">
            <wp:extent cx="5730699" cy="367665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6100" cy="3680115"/>
                    </a:xfrm>
                    <a:prstGeom prst="rect">
                      <a:avLst/>
                    </a:prstGeom>
                    <a:noFill/>
                    <a:ln>
                      <a:noFill/>
                    </a:ln>
                  </pic:spPr>
                </pic:pic>
              </a:graphicData>
            </a:graphic>
          </wp:inline>
        </w:drawing>
      </w:r>
    </w:p>
    <w:p w:rsidR="00AF496D" w:rsidRDefault="009371E6" w:rsidP="00527E19">
      <w:pPr>
        <w:pStyle w:val="Style1"/>
      </w:pPr>
      <w:r w:rsidRPr="009371E6">
        <w:rPr>
          <w:lang w:val="en-CA"/>
        </w:rPr>
        <w:t xml:space="preserve">Changes in assumptions relating to wheeled energy, transmission losses and collection rates have significant impacts on the financial outcomes for TCN. </w:t>
      </w:r>
      <w:r>
        <w:rPr>
          <w:lang w:val="en-CA"/>
        </w:rPr>
        <w:t xml:space="preserve"> </w:t>
      </w:r>
      <w:r w:rsidRPr="009371E6">
        <w:rPr>
          <w:lang w:val="en-CA"/>
        </w:rPr>
        <w:t>This is clearly illustrated in the results indicated in the above table</w:t>
      </w:r>
      <w:r>
        <w:rPr>
          <w:lang w:val="en-CA"/>
        </w:rPr>
        <w:t>.</w:t>
      </w:r>
    </w:p>
    <w:p w:rsidR="00AF496D" w:rsidRDefault="00AF496D" w:rsidP="00527E19">
      <w:pPr>
        <w:pStyle w:val="Heading2"/>
      </w:pPr>
      <w:r>
        <w:t>TC</w:t>
      </w:r>
      <w:r w:rsidR="00E572D3">
        <w:t xml:space="preserve">N Unaudited Draft </w:t>
      </w:r>
      <w:r w:rsidR="009371E6">
        <w:t>Financial Statements 2012-13</w:t>
      </w:r>
    </w:p>
    <w:p w:rsidR="009371E6" w:rsidRDefault="00AF496D" w:rsidP="00527E19">
      <w:pPr>
        <w:pStyle w:val="Style1"/>
      </w:pPr>
      <w:r>
        <w:t>The</w:t>
      </w:r>
      <w:r w:rsidR="009371E6">
        <w:t xml:space="preserve"> unaudited draft financial statements of TCN for 2012 and 2013 are presented in the following pages.</w:t>
      </w:r>
    </w:p>
    <w:p w:rsidR="009371E6" w:rsidRDefault="009371E6" w:rsidP="009371E6">
      <w:r>
        <w:br w:type="page"/>
      </w:r>
    </w:p>
    <w:p w:rsidR="009371E6" w:rsidRDefault="000E18D2" w:rsidP="00527E19">
      <w:pPr>
        <w:jc w:val="center"/>
      </w:pPr>
      <w:r w:rsidRPr="000E18D2">
        <w:rPr>
          <w:noProof/>
          <w:lang w:val="en-US"/>
        </w:rPr>
        <w:lastRenderedPageBreak/>
        <w:drawing>
          <wp:inline distT="0" distB="0" distL="0" distR="0">
            <wp:extent cx="5543550" cy="78390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3550" cy="7839075"/>
                    </a:xfrm>
                    <a:prstGeom prst="rect">
                      <a:avLst/>
                    </a:prstGeom>
                    <a:noFill/>
                    <a:ln>
                      <a:noFill/>
                    </a:ln>
                  </pic:spPr>
                </pic:pic>
              </a:graphicData>
            </a:graphic>
          </wp:inline>
        </w:drawing>
      </w:r>
    </w:p>
    <w:p w:rsidR="000E18D2" w:rsidRDefault="000E18D2">
      <w:r>
        <w:br w:type="page"/>
      </w:r>
    </w:p>
    <w:p w:rsidR="000E18D2" w:rsidRDefault="000E18D2" w:rsidP="00527E19">
      <w:pPr>
        <w:jc w:val="center"/>
      </w:pPr>
      <w:r w:rsidRPr="000E18D2">
        <w:rPr>
          <w:noProof/>
          <w:lang w:val="en-US"/>
        </w:rPr>
        <w:lastRenderedPageBreak/>
        <w:drawing>
          <wp:inline distT="0" distB="0" distL="0" distR="0">
            <wp:extent cx="5543550" cy="86201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3550" cy="8620125"/>
                    </a:xfrm>
                    <a:prstGeom prst="rect">
                      <a:avLst/>
                    </a:prstGeom>
                    <a:noFill/>
                    <a:ln>
                      <a:noFill/>
                    </a:ln>
                  </pic:spPr>
                </pic:pic>
              </a:graphicData>
            </a:graphic>
          </wp:inline>
        </w:drawing>
      </w:r>
    </w:p>
    <w:p w:rsidR="000E18D2" w:rsidRPr="00904957" w:rsidRDefault="000E18D2" w:rsidP="00527E19">
      <w:pPr>
        <w:jc w:val="center"/>
      </w:pPr>
      <w:r w:rsidRPr="000E18D2">
        <w:rPr>
          <w:noProof/>
          <w:lang w:val="en-US"/>
        </w:rPr>
        <w:lastRenderedPageBreak/>
        <w:drawing>
          <wp:inline distT="0" distB="0" distL="0" distR="0">
            <wp:extent cx="5543550" cy="68865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3550" cy="6886575"/>
                    </a:xfrm>
                    <a:prstGeom prst="rect">
                      <a:avLst/>
                    </a:prstGeom>
                    <a:noFill/>
                    <a:ln>
                      <a:noFill/>
                    </a:ln>
                  </pic:spPr>
                </pic:pic>
              </a:graphicData>
            </a:graphic>
          </wp:inline>
        </w:drawing>
      </w:r>
    </w:p>
    <w:sectPr w:rsidR="000E18D2" w:rsidRPr="00904957" w:rsidSect="00740A98">
      <w:footerReference w:type="default" r:id="rId14"/>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CD8" w:rsidRDefault="004D4CD8" w:rsidP="0043400F">
      <w:pPr>
        <w:spacing w:after="0" w:line="240" w:lineRule="auto"/>
      </w:pPr>
      <w:r>
        <w:separator/>
      </w:r>
    </w:p>
  </w:endnote>
  <w:endnote w:type="continuationSeparator" w:id="0">
    <w:p w:rsidR="004D4CD8" w:rsidRDefault="004D4CD8" w:rsidP="00434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99804"/>
      <w:docPartObj>
        <w:docPartGallery w:val="Page Numbers (Bottom of Page)"/>
        <w:docPartUnique/>
      </w:docPartObj>
    </w:sdtPr>
    <w:sdtEndPr>
      <w:rPr>
        <w:noProof/>
      </w:rPr>
    </w:sdtEndPr>
    <w:sdtContent>
      <w:p w:rsidR="00315AC8" w:rsidRDefault="008A47E8" w:rsidP="00BB34A1">
        <w:pPr>
          <w:pStyle w:val="Footer"/>
          <w:tabs>
            <w:tab w:val="clear" w:pos="4513"/>
            <w:tab w:val="center" w:pos="4140"/>
          </w:tabs>
          <w:jc w:val="right"/>
        </w:pPr>
        <w:r w:rsidRPr="00BB34A1">
          <w:rPr>
            <w:rFonts w:ascii="Arial" w:hAnsi="Arial" w:cs="Arial"/>
            <w:sz w:val="24"/>
            <w:szCs w:val="24"/>
          </w:rPr>
          <w:fldChar w:fldCharType="begin"/>
        </w:r>
        <w:r w:rsidR="00315AC8" w:rsidRPr="00BB34A1">
          <w:rPr>
            <w:rFonts w:ascii="Arial" w:hAnsi="Arial" w:cs="Arial"/>
            <w:sz w:val="24"/>
            <w:szCs w:val="24"/>
          </w:rPr>
          <w:instrText xml:space="preserve"> PAGE   \* MERGEFORMAT </w:instrText>
        </w:r>
        <w:r w:rsidRPr="00BB34A1">
          <w:rPr>
            <w:rFonts w:ascii="Arial" w:hAnsi="Arial" w:cs="Arial"/>
            <w:sz w:val="24"/>
            <w:szCs w:val="24"/>
          </w:rPr>
          <w:fldChar w:fldCharType="separate"/>
        </w:r>
        <w:r w:rsidR="005951EB">
          <w:rPr>
            <w:rFonts w:ascii="Arial" w:hAnsi="Arial" w:cs="Arial"/>
            <w:noProof/>
            <w:sz w:val="24"/>
            <w:szCs w:val="24"/>
          </w:rPr>
          <w:t>11</w:t>
        </w:r>
        <w:r w:rsidRPr="00BB34A1">
          <w:rPr>
            <w:rFonts w:ascii="Arial" w:hAnsi="Arial" w:cs="Arial"/>
            <w:noProof/>
            <w:sz w:val="24"/>
            <w:szCs w:val="24"/>
          </w:rPr>
          <w:fldChar w:fldCharType="end"/>
        </w:r>
        <w:r w:rsidR="00BB34A1">
          <w:rPr>
            <w:noProof/>
          </w:rPr>
          <w:tab/>
        </w:r>
        <w:r w:rsidR="00BB34A1" w:rsidRPr="00BB34A1">
          <w:rPr>
            <w:noProof/>
          </w:rPr>
          <w:drawing>
            <wp:inline distT="0" distB="0" distL="0" distR="0">
              <wp:extent cx="685800" cy="123825"/>
              <wp:effectExtent l="19050" t="0" r="0" b="0"/>
              <wp:docPr id="3" name="Picture 2" descr="nexant_rev (blue 3-4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ant_rev (blue 3-4in)"/>
                      <pic:cNvPicPr>
                        <a:picLocks noChangeAspect="1" noChangeArrowheads="1"/>
                      </pic:cNvPicPr>
                    </pic:nvPicPr>
                    <pic:blipFill>
                      <a:blip r:embed="rId1"/>
                      <a:srcRect/>
                      <a:stretch>
                        <a:fillRect/>
                      </a:stretch>
                    </pic:blipFill>
                    <pic:spPr bwMode="auto">
                      <a:xfrm>
                        <a:off x="0" y="0"/>
                        <a:ext cx="685800" cy="123825"/>
                      </a:xfrm>
                      <a:prstGeom prst="rect">
                        <a:avLst/>
                      </a:prstGeom>
                      <a:noFill/>
                      <a:ln w="9525">
                        <a:noFill/>
                        <a:miter lim="800000"/>
                        <a:headEnd/>
                        <a:tailEnd/>
                      </a:ln>
                    </pic:spPr>
                  </pic:pic>
                </a:graphicData>
              </a:graphic>
            </wp:inline>
          </w:drawing>
        </w:r>
      </w:p>
    </w:sdtContent>
  </w:sdt>
  <w:p w:rsidR="00315AC8" w:rsidRDefault="00315A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CD8" w:rsidRDefault="004D4CD8" w:rsidP="0043400F">
      <w:pPr>
        <w:spacing w:after="0" w:line="240" w:lineRule="auto"/>
      </w:pPr>
      <w:r>
        <w:separator/>
      </w:r>
    </w:p>
  </w:footnote>
  <w:footnote w:type="continuationSeparator" w:id="0">
    <w:p w:rsidR="004D4CD8" w:rsidRDefault="004D4CD8" w:rsidP="004340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64B82"/>
    <w:multiLevelType w:val="hybridMultilevel"/>
    <w:tmpl w:val="F3189C22"/>
    <w:lvl w:ilvl="0" w:tplc="75301204">
      <w:start w:val="1"/>
      <w:numFmt w:val="bullet"/>
      <w:lvlText w:val=""/>
      <w:lvlJc w:val="left"/>
      <w:pPr>
        <w:tabs>
          <w:tab w:val="num" w:pos="720"/>
        </w:tabs>
        <w:ind w:left="720" w:hanging="360"/>
      </w:pPr>
      <w:rPr>
        <w:rFonts w:ascii="Wingdings 2" w:hAnsi="Wingdings 2" w:hint="default"/>
      </w:rPr>
    </w:lvl>
    <w:lvl w:ilvl="1" w:tplc="966AE7E4" w:tentative="1">
      <w:start w:val="1"/>
      <w:numFmt w:val="bullet"/>
      <w:lvlText w:val=""/>
      <w:lvlJc w:val="left"/>
      <w:pPr>
        <w:tabs>
          <w:tab w:val="num" w:pos="1440"/>
        </w:tabs>
        <w:ind w:left="1440" w:hanging="360"/>
      </w:pPr>
      <w:rPr>
        <w:rFonts w:ascii="Wingdings 2" w:hAnsi="Wingdings 2" w:hint="default"/>
      </w:rPr>
    </w:lvl>
    <w:lvl w:ilvl="2" w:tplc="C15C9690" w:tentative="1">
      <w:start w:val="1"/>
      <w:numFmt w:val="bullet"/>
      <w:lvlText w:val=""/>
      <w:lvlJc w:val="left"/>
      <w:pPr>
        <w:tabs>
          <w:tab w:val="num" w:pos="2160"/>
        </w:tabs>
        <w:ind w:left="2160" w:hanging="360"/>
      </w:pPr>
      <w:rPr>
        <w:rFonts w:ascii="Wingdings 2" w:hAnsi="Wingdings 2" w:hint="default"/>
      </w:rPr>
    </w:lvl>
    <w:lvl w:ilvl="3" w:tplc="B64860E2" w:tentative="1">
      <w:start w:val="1"/>
      <w:numFmt w:val="bullet"/>
      <w:lvlText w:val=""/>
      <w:lvlJc w:val="left"/>
      <w:pPr>
        <w:tabs>
          <w:tab w:val="num" w:pos="2880"/>
        </w:tabs>
        <w:ind w:left="2880" w:hanging="360"/>
      </w:pPr>
      <w:rPr>
        <w:rFonts w:ascii="Wingdings 2" w:hAnsi="Wingdings 2" w:hint="default"/>
      </w:rPr>
    </w:lvl>
    <w:lvl w:ilvl="4" w:tplc="1FB25384" w:tentative="1">
      <w:start w:val="1"/>
      <w:numFmt w:val="bullet"/>
      <w:lvlText w:val=""/>
      <w:lvlJc w:val="left"/>
      <w:pPr>
        <w:tabs>
          <w:tab w:val="num" w:pos="3600"/>
        </w:tabs>
        <w:ind w:left="3600" w:hanging="360"/>
      </w:pPr>
      <w:rPr>
        <w:rFonts w:ascii="Wingdings 2" w:hAnsi="Wingdings 2" w:hint="default"/>
      </w:rPr>
    </w:lvl>
    <w:lvl w:ilvl="5" w:tplc="65B4187E" w:tentative="1">
      <w:start w:val="1"/>
      <w:numFmt w:val="bullet"/>
      <w:lvlText w:val=""/>
      <w:lvlJc w:val="left"/>
      <w:pPr>
        <w:tabs>
          <w:tab w:val="num" w:pos="4320"/>
        </w:tabs>
        <w:ind w:left="4320" w:hanging="360"/>
      </w:pPr>
      <w:rPr>
        <w:rFonts w:ascii="Wingdings 2" w:hAnsi="Wingdings 2" w:hint="default"/>
      </w:rPr>
    </w:lvl>
    <w:lvl w:ilvl="6" w:tplc="EC02C890" w:tentative="1">
      <w:start w:val="1"/>
      <w:numFmt w:val="bullet"/>
      <w:lvlText w:val=""/>
      <w:lvlJc w:val="left"/>
      <w:pPr>
        <w:tabs>
          <w:tab w:val="num" w:pos="5040"/>
        </w:tabs>
        <w:ind w:left="5040" w:hanging="360"/>
      </w:pPr>
      <w:rPr>
        <w:rFonts w:ascii="Wingdings 2" w:hAnsi="Wingdings 2" w:hint="default"/>
      </w:rPr>
    </w:lvl>
    <w:lvl w:ilvl="7" w:tplc="EBA47C30" w:tentative="1">
      <w:start w:val="1"/>
      <w:numFmt w:val="bullet"/>
      <w:lvlText w:val=""/>
      <w:lvlJc w:val="left"/>
      <w:pPr>
        <w:tabs>
          <w:tab w:val="num" w:pos="5760"/>
        </w:tabs>
        <w:ind w:left="5760" w:hanging="360"/>
      </w:pPr>
      <w:rPr>
        <w:rFonts w:ascii="Wingdings 2" w:hAnsi="Wingdings 2" w:hint="default"/>
      </w:rPr>
    </w:lvl>
    <w:lvl w:ilvl="8" w:tplc="E3EA34C0" w:tentative="1">
      <w:start w:val="1"/>
      <w:numFmt w:val="bullet"/>
      <w:lvlText w:val=""/>
      <w:lvlJc w:val="left"/>
      <w:pPr>
        <w:tabs>
          <w:tab w:val="num" w:pos="6480"/>
        </w:tabs>
        <w:ind w:left="6480" w:hanging="360"/>
      </w:pPr>
      <w:rPr>
        <w:rFonts w:ascii="Wingdings 2" w:hAnsi="Wingdings 2" w:hint="default"/>
      </w:rPr>
    </w:lvl>
  </w:abstractNum>
  <w:abstractNum w:abstractNumId="1">
    <w:nsid w:val="098E4274"/>
    <w:multiLevelType w:val="hybridMultilevel"/>
    <w:tmpl w:val="06287FD2"/>
    <w:lvl w:ilvl="0" w:tplc="10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4595B8A"/>
    <w:multiLevelType w:val="hybridMultilevel"/>
    <w:tmpl w:val="7AD26F60"/>
    <w:lvl w:ilvl="0" w:tplc="A032289E">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8F6430A"/>
    <w:multiLevelType w:val="hybridMultilevel"/>
    <w:tmpl w:val="10D62C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565C5D"/>
    <w:multiLevelType w:val="hybridMultilevel"/>
    <w:tmpl w:val="62CCAAB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nsid w:val="21F60D25"/>
    <w:multiLevelType w:val="hybridMultilevel"/>
    <w:tmpl w:val="C9A07C6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21EE1"/>
    <w:multiLevelType w:val="hybridMultilevel"/>
    <w:tmpl w:val="C6BA5A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DC81768"/>
    <w:multiLevelType w:val="multilevel"/>
    <w:tmpl w:val="A12A34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30BB36BF"/>
    <w:multiLevelType w:val="hybridMultilevel"/>
    <w:tmpl w:val="FF7CE7B4"/>
    <w:lvl w:ilvl="0" w:tplc="7C262FC8">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87926AF"/>
    <w:multiLevelType w:val="hybridMultilevel"/>
    <w:tmpl w:val="8DD46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90BC5"/>
    <w:multiLevelType w:val="hybridMultilevel"/>
    <w:tmpl w:val="67C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DF4DB4"/>
    <w:multiLevelType w:val="hybridMultilevel"/>
    <w:tmpl w:val="A574C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E627B57"/>
    <w:multiLevelType w:val="hybridMultilevel"/>
    <w:tmpl w:val="C6F414FA"/>
    <w:lvl w:ilvl="0" w:tplc="08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53007F8"/>
    <w:multiLevelType w:val="hybridMultilevel"/>
    <w:tmpl w:val="EF3C71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3D5439"/>
    <w:multiLevelType w:val="hybridMultilevel"/>
    <w:tmpl w:val="4456EA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A507D89"/>
    <w:multiLevelType w:val="hybridMultilevel"/>
    <w:tmpl w:val="8F4036DC"/>
    <w:lvl w:ilvl="0" w:tplc="026AD3DC">
      <w:start w:val="1"/>
      <w:numFmt w:val="bullet"/>
      <w:lvlText w:val=""/>
      <w:lvlJc w:val="left"/>
      <w:pPr>
        <w:tabs>
          <w:tab w:val="num" w:pos="720"/>
        </w:tabs>
        <w:ind w:left="720" w:hanging="360"/>
      </w:pPr>
      <w:rPr>
        <w:rFonts w:ascii="Wingdings 2" w:hAnsi="Wingdings 2" w:hint="default"/>
      </w:rPr>
    </w:lvl>
    <w:lvl w:ilvl="1" w:tplc="27E605DC">
      <w:start w:val="1"/>
      <w:numFmt w:val="bullet"/>
      <w:lvlText w:val=""/>
      <w:lvlJc w:val="left"/>
      <w:pPr>
        <w:tabs>
          <w:tab w:val="num" w:pos="1440"/>
        </w:tabs>
        <w:ind w:left="1440" w:hanging="360"/>
      </w:pPr>
      <w:rPr>
        <w:rFonts w:ascii="Wingdings 2" w:hAnsi="Wingdings 2" w:hint="default"/>
      </w:rPr>
    </w:lvl>
    <w:lvl w:ilvl="2" w:tplc="44A28280">
      <w:start w:val="213"/>
      <w:numFmt w:val="bullet"/>
      <w:lvlText w:val=""/>
      <w:lvlJc w:val="left"/>
      <w:pPr>
        <w:tabs>
          <w:tab w:val="num" w:pos="2160"/>
        </w:tabs>
        <w:ind w:left="2160" w:hanging="360"/>
      </w:pPr>
      <w:rPr>
        <w:rFonts w:ascii="Wingdings 2" w:hAnsi="Wingdings 2" w:hint="default"/>
      </w:rPr>
    </w:lvl>
    <w:lvl w:ilvl="3" w:tplc="E46A64E8" w:tentative="1">
      <w:start w:val="1"/>
      <w:numFmt w:val="bullet"/>
      <w:lvlText w:val=""/>
      <w:lvlJc w:val="left"/>
      <w:pPr>
        <w:tabs>
          <w:tab w:val="num" w:pos="2880"/>
        </w:tabs>
        <w:ind w:left="2880" w:hanging="360"/>
      </w:pPr>
      <w:rPr>
        <w:rFonts w:ascii="Wingdings 2" w:hAnsi="Wingdings 2" w:hint="default"/>
      </w:rPr>
    </w:lvl>
    <w:lvl w:ilvl="4" w:tplc="779E6FCA" w:tentative="1">
      <w:start w:val="1"/>
      <w:numFmt w:val="bullet"/>
      <w:lvlText w:val=""/>
      <w:lvlJc w:val="left"/>
      <w:pPr>
        <w:tabs>
          <w:tab w:val="num" w:pos="3600"/>
        </w:tabs>
        <w:ind w:left="3600" w:hanging="360"/>
      </w:pPr>
      <w:rPr>
        <w:rFonts w:ascii="Wingdings 2" w:hAnsi="Wingdings 2" w:hint="default"/>
      </w:rPr>
    </w:lvl>
    <w:lvl w:ilvl="5" w:tplc="068EE4DA" w:tentative="1">
      <w:start w:val="1"/>
      <w:numFmt w:val="bullet"/>
      <w:lvlText w:val=""/>
      <w:lvlJc w:val="left"/>
      <w:pPr>
        <w:tabs>
          <w:tab w:val="num" w:pos="4320"/>
        </w:tabs>
        <w:ind w:left="4320" w:hanging="360"/>
      </w:pPr>
      <w:rPr>
        <w:rFonts w:ascii="Wingdings 2" w:hAnsi="Wingdings 2" w:hint="default"/>
      </w:rPr>
    </w:lvl>
    <w:lvl w:ilvl="6" w:tplc="1D849CF8" w:tentative="1">
      <w:start w:val="1"/>
      <w:numFmt w:val="bullet"/>
      <w:lvlText w:val=""/>
      <w:lvlJc w:val="left"/>
      <w:pPr>
        <w:tabs>
          <w:tab w:val="num" w:pos="5040"/>
        </w:tabs>
        <w:ind w:left="5040" w:hanging="360"/>
      </w:pPr>
      <w:rPr>
        <w:rFonts w:ascii="Wingdings 2" w:hAnsi="Wingdings 2" w:hint="default"/>
      </w:rPr>
    </w:lvl>
    <w:lvl w:ilvl="7" w:tplc="4088FF4A" w:tentative="1">
      <w:start w:val="1"/>
      <w:numFmt w:val="bullet"/>
      <w:lvlText w:val=""/>
      <w:lvlJc w:val="left"/>
      <w:pPr>
        <w:tabs>
          <w:tab w:val="num" w:pos="5760"/>
        </w:tabs>
        <w:ind w:left="5760" w:hanging="360"/>
      </w:pPr>
      <w:rPr>
        <w:rFonts w:ascii="Wingdings 2" w:hAnsi="Wingdings 2" w:hint="default"/>
      </w:rPr>
    </w:lvl>
    <w:lvl w:ilvl="8" w:tplc="5B680EE8" w:tentative="1">
      <w:start w:val="1"/>
      <w:numFmt w:val="bullet"/>
      <w:lvlText w:val=""/>
      <w:lvlJc w:val="left"/>
      <w:pPr>
        <w:tabs>
          <w:tab w:val="num" w:pos="6480"/>
        </w:tabs>
        <w:ind w:left="6480" w:hanging="360"/>
      </w:pPr>
      <w:rPr>
        <w:rFonts w:ascii="Wingdings 2" w:hAnsi="Wingdings 2" w:hint="default"/>
      </w:rPr>
    </w:lvl>
  </w:abstractNum>
  <w:abstractNum w:abstractNumId="16">
    <w:nsid w:val="5EF06D7F"/>
    <w:multiLevelType w:val="hybridMultilevel"/>
    <w:tmpl w:val="77AA316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6BF01736"/>
    <w:multiLevelType w:val="hybridMultilevel"/>
    <w:tmpl w:val="E506A5E6"/>
    <w:lvl w:ilvl="0" w:tplc="D7B6D98E">
      <w:start w:val="1"/>
      <w:numFmt w:val="bullet"/>
      <w:pStyle w:val="bulletstyle"/>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32763EA"/>
    <w:multiLevelType w:val="hybridMultilevel"/>
    <w:tmpl w:val="13528D38"/>
    <w:lvl w:ilvl="0" w:tplc="1FD44A82">
      <w:start w:val="1"/>
      <w:numFmt w:val="decimal"/>
      <w:pStyle w:val="Style1"/>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8"/>
  </w:num>
  <w:num w:numId="3">
    <w:abstractNumId w:val="8"/>
  </w:num>
  <w:num w:numId="4">
    <w:abstractNumId w:val="2"/>
  </w:num>
  <w:num w:numId="5">
    <w:abstractNumId w:val="18"/>
  </w:num>
  <w:num w:numId="6">
    <w:abstractNumId w:val="2"/>
  </w:num>
  <w:num w:numId="7">
    <w:abstractNumId w:val="2"/>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7"/>
  </w:num>
  <w:num w:numId="21">
    <w:abstractNumId w:val="18"/>
  </w:num>
  <w:num w:numId="22">
    <w:abstractNumId w:val="18"/>
  </w:num>
  <w:num w:numId="23">
    <w:abstractNumId w:val="4"/>
  </w:num>
  <w:num w:numId="24">
    <w:abstractNumId w:val="18"/>
  </w:num>
  <w:num w:numId="25">
    <w:abstractNumId w:val="6"/>
  </w:num>
  <w:num w:numId="26">
    <w:abstractNumId w:val="12"/>
  </w:num>
  <w:num w:numId="27">
    <w:abstractNumId w:val="1"/>
  </w:num>
  <w:num w:numId="28">
    <w:abstractNumId w:val="18"/>
  </w:num>
  <w:num w:numId="29">
    <w:abstractNumId w:val="10"/>
  </w:num>
  <w:num w:numId="30">
    <w:abstractNumId w:val="18"/>
  </w:num>
  <w:num w:numId="31">
    <w:abstractNumId w:val="5"/>
  </w:num>
  <w:num w:numId="32">
    <w:abstractNumId w:val="3"/>
  </w:num>
  <w:num w:numId="33">
    <w:abstractNumId w:val="9"/>
  </w:num>
  <w:num w:numId="34">
    <w:abstractNumId w:val="13"/>
  </w:num>
  <w:num w:numId="35">
    <w:abstractNumId w:val="18"/>
  </w:num>
  <w:num w:numId="36">
    <w:abstractNumId w:val="18"/>
  </w:num>
  <w:num w:numId="37">
    <w:abstractNumId w:val="0"/>
  </w:num>
  <w:num w:numId="38">
    <w:abstractNumId w:val="14"/>
  </w:num>
  <w:num w:numId="39">
    <w:abstractNumId w:val="15"/>
  </w:num>
  <w:num w:numId="40">
    <w:abstractNumId w:val="18"/>
  </w:num>
  <w:num w:numId="41">
    <w:abstractNumId w:val="18"/>
  </w:num>
  <w:num w:numId="42">
    <w:abstractNumId w:val="18"/>
  </w:num>
  <w:num w:numId="43">
    <w:abstractNumId w:val="11"/>
  </w:num>
  <w:num w:numId="4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16AAF"/>
    <w:rsid w:val="0000048D"/>
    <w:rsid w:val="000017C3"/>
    <w:rsid w:val="00003C52"/>
    <w:rsid w:val="000068CB"/>
    <w:rsid w:val="0000720C"/>
    <w:rsid w:val="0001139F"/>
    <w:rsid w:val="00012FA9"/>
    <w:rsid w:val="00014C9F"/>
    <w:rsid w:val="00020AE2"/>
    <w:rsid w:val="00021785"/>
    <w:rsid w:val="00022AAA"/>
    <w:rsid w:val="00022D76"/>
    <w:rsid w:val="000244BA"/>
    <w:rsid w:val="0002758E"/>
    <w:rsid w:val="00027D96"/>
    <w:rsid w:val="0003060F"/>
    <w:rsid w:val="00031B58"/>
    <w:rsid w:val="00032CBC"/>
    <w:rsid w:val="00034144"/>
    <w:rsid w:val="0003659A"/>
    <w:rsid w:val="0003682B"/>
    <w:rsid w:val="00036BEF"/>
    <w:rsid w:val="0003733B"/>
    <w:rsid w:val="00037ADD"/>
    <w:rsid w:val="00037BF5"/>
    <w:rsid w:val="00037DCE"/>
    <w:rsid w:val="00040477"/>
    <w:rsid w:val="000404C8"/>
    <w:rsid w:val="00041852"/>
    <w:rsid w:val="00041EB4"/>
    <w:rsid w:val="000430D9"/>
    <w:rsid w:val="00046C9C"/>
    <w:rsid w:val="000477EB"/>
    <w:rsid w:val="00047FC4"/>
    <w:rsid w:val="0005028E"/>
    <w:rsid w:val="00053CDC"/>
    <w:rsid w:val="00054098"/>
    <w:rsid w:val="00055132"/>
    <w:rsid w:val="00056EF6"/>
    <w:rsid w:val="00057F1F"/>
    <w:rsid w:val="000601B4"/>
    <w:rsid w:val="00060388"/>
    <w:rsid w:val="000617BD"/>
    <w:rsid w:val="00062A59"/>
    <w:rsid w:val="00063839"/>
    <w:rsid w:val="000646AB"/>
    <w:rsid w:val="000646B9"/>
    <w:rsid w:val="00066089"/>
    <w:rsid w:val="0007127D"/>
    <w:rsid w:val="000715EA"/>
    <w:rsid w:val="00071A4F"/>
    <w:rsid w:val="0007382D"/>
    <w:rsid w:val="00074FB8"/>
    <w:rsid w:val="00075AB8"/>
    <w:rsid w:val="00077857"/>
    <w:rsid w:val="00077F53"/>
    <w:rsid w:val="00081C93"/>
    <w:rsid w:val="00083131"/>
    <w:rsid w:val="0008345E"/>
    <w:rsid w:val="000835A1"/>
    <w:rsid w:val="000835C8"/>
    <w:rsid w:val="00086A8E"/>
    <w:rsid w:val="0008702A"/>
    <w:rsid w:val="00087371"/>
    <w:rsid w:val="0008751E"/>
    <w:rsid w:val="0009043D"/>
    <w:rsid w:val="00091B24"/>
    <w:rsid w:val="00091D6D"/>
    <w:rsid w:val="0009310B"/>
    <w:rsid w:val="0009453A"/>
    <w:rsid w:val="00094747"/>
    <w:rsid w:val="0009501B"/>
    <w:rsid w:val="00095428"/>
    <w:rsid w:val="00095727"/>
    <w:rsid w:val="00095E9F"/>
    <w:rsid w:val="000A14E5"/>
    <w:rsid w:val="000A26BC"/>
    <w:rsid w:val="000A47B3"/>
    <w:rsid w:val="000A6757"/>
    <w:rsid w:val="000A6AE1"/>
    <w:rsid w:val="000B00E6"/>
    <w:rsid w:val="000B0B31"/>
    <w:rsid w:val="000B26C4"/>
    <w:rsid w:val="000B2A04"/>
    <w:rsid w:val="000B2AEB"/>
    <w:rsid w:val="000B3936"/>
    <w:rsid w:val="000B6B90"/>
    <w:rsid w:val="000B797F"/>
    <w:rsid w:val="000B7AE1"/>
    <w:rsid w:val="000C20AA"/>
    <w:rsid w:val="000C3077"/>
    <w:rsid w:val="000C448C"/>
    <w:rsid w:val="000C4F89"/>
    <w:rsid w:val="000C582E"/>
    <w:rsid w:val="000C5E47"/>
    <w:rsid w:val="000C61F5"/>
    <w:rsid w:val="000C6C20"/>
    <w:rsid w:val="000C729E"/>
    <w:rsid w:val="000C7CDB"/>
    <w:rsid w:val="000D202D"/>
    <w:rsid w:val="000D2369"/>
    <w:rsid w:val="000D295A"/>
    <w:rsid w:val="000D4588"/>
    <w:rsid w:val="000E13DD"/>
    <w:rsid w:val="000E160B"/>
    <w:rsid w:val="000E18D2"/>
    <w:rsid w:val="000E3343"/>
    <w:rsid w:val="000E4A8A"/>
    <w:rsid w:val="000E57AA"/>
    <w:rsid w:val="000E587B"/>
    <w:rsid w:val="000E710B"/>
    <w:rsid w:val="000E72B4"/>
    <w:rsid w:val="000F3ED5"/>
    <w:rsid w:val="000F4304"/>
    <w:rsid w:val="000F657A"/>
    <w:rsid w:val="0010101F"/>
    <w:rsid w:val="001010E0"/>
    <w:rsid w:val="00101739"/>
    <w:rsid w:val="00102776"/>
    <w:rsid w:val="001053AC"/>
    <w:rsid w:val="00105833"/>
    <w:rsid w:val="00105CDA"/>
    <w:rsid w:val="0010698E"/>
    <w:rsid w:val="00106A3B"/>
    <w:rsid w:val="00110AEA"/>
    <w:rsid w:val="00110BB6"/>
    <w:rsid w:val="00111A77"/>
    <w:rsid w:val="00112E83"/>
    <w:rsid w:val="00113748"/>
    <w:rsid w:val="00113825"/>
    <w:rsid w:val="00113ED1"/>
    <w:rsid w:val="00113FD2"/>
    <w:rsid w:val="00115495"/>
    <w:rsid w:val="001162A8"/>
    <w:rsid w:val="001165AF"/>
    <w:rsid w:val="00116947"/>
    <w:rsid w:val="001179E4"/>
    <w:rsid w:val="00117D97"/>
    <w:rsid w:val="00117DFB"/>
    <w:rsid w:val="00123015"/>
    <w:rsid w:val="00126EB2"/>
    <w:rsid w:val="00127FC5"/>
    <w:rsid w:val="00131D99"/>
    <w:rsid w:val="00133535"/>
    <w:rsid w:val="00133900"/>
    <w:rsid w:val="00135225"/>
    <w:rsid w:val="00136983"/>
    <w:rsid w:val="00136ED0"/>
    <w:rsid w:val="001378F7"/>
    <w:rsid w:val="00137F40"/>
    <w:rsid w:val="00141D98"/>
    <w:rsid w:val="001422FD"/>
    <w:rsid w:val="00142403"/>
    <w:rsid w:val="001437A1"/>
    <w:rsid w:val="00145E50"/>
    <w:rsid w:val="00146BF1"/>
    <w:rsid w:val="00146FD8"/>
    <w:rsid w:val="0015039D"/>
    <w:rsid w:val="00150A9D"/>
    <w:rsid w:val="0015267F"/>
    <w:rsid w:val="00154FD4"/>
    <w:rsid w:val="00155F0E"/>
    <w:rsid w:val="00156DDD"/>
    <w:rsid w:val="00157BC5"/>
    <w:rsid w:val="00157C50"/>
    <w:rsid w:val="00157D12"/>
    <w:rsid w:val="0016082E"/>
    <w:rsid w:val="00161132"/>
    <w:rsid w:val="001629A2"/>
    <w:rsid w:val="00165FF2"/>
    <w:rsid w:val="00166360"/>
    <w:rsid w:val="00166BE0"/>
    <w:rsid w:val="00167616"/>
    <w:rsid w:val="00170E5E"/>
    <w:rsid w:val="00171762"/>
    <w:rsid w:val="001721C4"/>
    <w:rsid w:val="00172663"/>
    <w:rsid w:val="00173D5B"/>
    <w:rsid w:val="00173F67"/>
    <w:rsid w:val="00173F96"/>
    <w:rsid w:val="0017411B"/>
    <w:rsid w:val="001751FD"/>
    <w:rsid w:val="001777E6"/>
    <w:rsid w:val="00180F1E"/>
    <w:rsid w:val="00182B6C"/>
    <w:rsid w:val="001842CB"/>
    <w:rsid w:val="00185AC7"/>
    <w:rsid w:val="00185F18"/>
    <w:rsid w:val="00186BEB"/>
    <w:rsid w:val="00186E99"/>
    <w:rsid w:val="0019042D"/>
    <w:rsid w:val="00190F88"/>
    <w:rsid w:val="001941F4"/>
    <w:rsid w:val="00195857"/>
    <w:rsid w:val="00196842"/>
    <w:rsid w:val="001A4B16"/>
    <w:rsid w:val="001A4E06"/>
    <w:rsid w:val="001A4E7E"/>
    <w:rsid w:val="001B1526"/>
    <w:rsid w:val="001B22A1"/>
    <w:rsid w:val="001B3085"/>
    <w:rsid w:val="001B35E2"/>
    <w:rsid w:val="001B3CFA"/>
    <w:rsid w:val="001B44D6"/>
    <w:rsid w:val="001B4D68"/>
    <w:rsid w:val="001B4FFB"/>
    <w:rsid w:val="001B5E89"/>
    <w:rsid w:val="001B603D"/>
    <w:rsid w:val="001B621C"/>
    <w:rsid w:val="001B7230"/>
    <w:rsid w:val="001B7DA3"/>
    <w:rsid w:val="001C1BC7"/>
    <w:rsid w:val="001C2F11"/>
    <w:rsid w:val="001C36D1"/>
    <w:rsid w:val="001C569E"/>
    <w:rsid w:val="001C5A7C"/>
    <w:rsid w:val="001C622B"/>
    <w:rsid w:val="001C7296"/>
    <w:rsid w:val="001D1DB8"/>
    <w:rsid w:val="001D2A1F"/>
    <w:rsid w:val="001D2ACB"/>
    <w:rsid w:val="001D3439"/>
    <w:rsid w:val="001D4A12"/>
    <w:rsid w:val="001D5BEA"/>
    <w:rsid w:val="001E2D30"/>
    <w:rsid w:val="001E46F3"/>
    <w:rsid w:val="001E6F20"/>
    <w:rsid w:val="001F2BCA"/>
    <w:rsid w:val="001F48C2"/>
    <w:rsid w:val="001F5017"/>
    <w:rsid w:val="001F55B8"/>
    <w:rsid w:val="001F5A22"/>
    <w:rsid w:val="001F6F1E"/>
    <w:rsid w:val="001F781F"/>
    <w:rsid w:val="00200B26"/>
    <w:rsid w:val="0020207E"/>
    <w:rsid w:val="00204FCE"/>
    <w:rsid w:val="00210BAA"/>
    <w:rsid w:val="00211E1A"/>
    <w:rsid w:val="00220621"/>
    <w:rsid w:val="002241D0"/>
    <w:rsid w:val="00226252"/>
    <w:rsid w:val="002269C3"/>
    <w:rsid w:val="00227398"/>
    <w:rsid w:val="002274E2"/>
    <w:rsid w:val="002309FF"/>
    <w:rsid w:val="00232656"/>
    <w:rsid w:val="00233599"/>
    <w:rsid w:val="00236B3F"/>
    <w:rsid w:val="00236DC6"/>
    <w:rsid w:val="00237376"/>
    <w:rsid w:val="00240CAC"/>
    <w:rsid w:val="00241EAF"/>
    <w:rsid w:val="00242235"/>
    <w:rsid w:val="0024335D"/>
    <w:rsid w:val="002436B1"/>
    <w:rsid w:val="00250E0A"/>
    <w:rsid w:val="00251401"/>
    <w:rsid w:val="002529AA"/>
    <w:rsid w:val="00252C87"/>
    <w:rsid w:val="002530C1"/>
    <w:rsid w:val="0025380A"/>
    <w:rsid w:val="002548A9"/>
    <w:rsid w:val="00254CDC"/>
    <w:rsid w:val="00256A34"/>
    <w:rsid w:val="0026094F"/>
    <w:rsid w:val="00260D94"/>
    <w:rsid w:val="00261D05"/>
    <w:rsid w:val="00266E83"/>
    <w:rsid w:val="00267697"/>
    <w:rsid w:val="00267E6E"/>
    <w:rsid w:val="00270503"/>
    <w:rsid w:val="0027167C"/>
    <w:rsid w:val="00271A3B"/>
    <w:rsid w:val="00273711"/>
    <w:rsid w:val="00274229"/>
    <w:rsid w:val="0027443A"/>
    <w:rsid w:val="0027510C"/>
    <w:rsid w:val="00275773"/>
    <w:rsid w:val="00277D24"/>
    <w:rsid w:val="002804F3"/>
    <w:rsid w:val="00280EDA"/>
    <w:rsid w:val="00281078"/>
    <w:rsid w:val="00281494"/>
    <w:rsid w:val="002815B0"/>
    <w:rsid w:val="002836AD"/>
    <w:rsid w:val="00283E22"/>
    <w:rsid w:val="002849C7"/>
    <w:rsid w:val="00284A9E"/>
    <w:rsid w:val="0028520C"/>
    <w:rsid w:val="00286329"/>
    <w:rsid w:val="0028683F"/>
    <w:rsid w:val="002877EF"/>
    <w:rsid w:val="00287C53"/>
    <w:rsid w:val="00290C1C"/>
    <w:rsid w:val="00291A2A"/>
    <w:rsid w:val="00291F95"/>
    <w:rsid w:val="00292E0D"/>
    <w:rsid w:val="0029468B"/>
    <w:rsid w:val="00295079"/>
    <w:rsid w:val="00296739"/>
    <w:rsid w:val="0029729B"/>
    <w:rsid w:val="002A1BFA"/>
    <w:rsid w:val="002A27AE"/>
    <w:rsid w:val="002A27B6"/>
    <w:rsid w:val="002A3701"/>
    <w:rsid w:val="002A385A"/>
    <w:rsid w:val="002A3B9D"/>
    <w:rsid w:val="002A43B9"/>
    <w:rsid w:val="002A5371"/>
    <w:rsid w:val="002A5D21"/>
    <w:rsid w:val="002A624A"/>
    <w:rsid w:val="002B0258"/>
    <w:rsid w:val="002B0F6E"/>
    <w:rsid w:val="002B1914"/>
    <w:rsid w:val="002B234B"/>
    <w:rsid w:val="002B2FA3"/>
    <w:rsid w:val="002B37B7"/>
    <w:rsid w:val="002B4779"/>
    <w:rsid w:val="002B6156"/>
    <w:rsid w:val="002B696F"/>
    <w:rsid w:val="002B6BC9"/>
    <w:rsid w:val="002B745D"/>
    <w:rsid w:val="002C0AFC"/>
    <w:rsid w:val="002C0CD1"/>
    <w:rsid w:val="002C1749"/>
    <w:rsid w:val="002C23B3"/>
    <w:rsid w:val="002C2C49"/>
    <w:rsid w:val="002C2C93"/>
    <w:rsid w:val="002C3258"/>
    <w:rsid w:val="002C34CA"/>
    <w:rsid w:val="002C3531"/>
    <w:rsid w:val="002C4F21"/>
    <w:rsid w:val="002C5A48"/>
    <w:rsid w:val="002C5ADD"/>
    <w:rsid w:val="002C6F1A"/>
    <w:rsid w:val="002C7959"/>
    <w:rsid w:val="002D0611"/>
    <w:rsid w:val="002D092B"/>
    <w:rsid w:val="002D3D48"/>
    <w:rsid w:val="002D4403"/>
    <w:rsid w:val="002D70B9"/>
    <w:rsid w:val="002E1281"/>
    <w:rsid w:val="002E182F"/>
    <w:rsid w:val="002E31A3"/>
    <w:rsid w:val="002E4101"/>
    <w:rsid w:val="002E4F01"/>
    <w:rsid w:val="002E55F5"/>
    <w:rsid w:val="002E72B8"/>
    <w:rsid w:val="002E78A5"/>
    <w:rsid w:val="002F07D1"/>
    <w:rsid w:val="002F10AA"/>
    <w:rsid w:val="002F1A4C"/>
    <w:rsid w:val="002F1C32"/>
    <w:rsid w:val="002F2E14"/>
    <w:rsid w:val="002F391F"/>
    <w:rsid w:val="002F3C0D"/>
    <w:rsid w:val="002F3FE6"/>
    <w:rsid w:val="002F47C6"/>
    <w:rsid w:val="002F528C"/>
    <w:rsid w:val="002F5CFE"/>
    <w:rsid w:val="002F64A1"/>
    <w:rsid w:val="00300CF5"/>
    <w:rsid w:val="003011F0"/>
    <w:rsid w:val="00301D1A"/>
    <w:rsid w:val="0030202B"/>
    <w:rsid w:val="00302F2C"/>
    <w:rsid w:val="003038D8"/>
    <w:rsid w:val="003046D2"/>
    <w:rsid w:val="0030473A"/>
    <w:rsid w:val="00311630"/>
    <w:rsid w:val="00311942"/>
    <w:rsid w:val="00313056"/>
    <w:rsid w:val="00313233"/>
    <w:rsid w:val="003148A4"/>
    <w:rsid w:val="00314A9C"/>
    <w:rsid w:val="003157D2"/>
    <w:rsid w:val="00315AC8"/>
    <w:rsid w:val="00316952"/>
    <w:rsid w:val="00317E87"/>
    <w:rsid w:val="00323E67"/>
    <w:rsid w:val="003276FA"/>
    <w:rsid w:val="00331754"/>
    <w:rsid w:val="00331976"/>
    <w:rsid w:val="00331FEE"/>
    <w:rsid w:val="00332C60"/>
    <w:rsid w:val="003334B6"/>
    <w:rsid w:val="003336C0"/>
    <w:rsid w:val="00333EBC"/>
    <w:rsid w:val="00334112"/>
    <w:rsid w:val="00335AFC"/>
    <w:rsid w:val="00336304"/>
    <w:rsid w:val="00340BF2"/>
    <w:rsid w:val="00341874"/>
    <w:rsid w:val="00342E92"/>
    <w:rsid w:val="003457FB"/>
    <w:rsid w:val="00347A14"/>
    <w:rsid w:val="00350651"/>
    <w:rsid w:val="00352855"/>
    <w:rsid w:val="00352A15"/>
    <w:rsid w:val="0035327F"/>
    <w:rsid w:val="00354E7F"/>
    <w:rsid w:val="00356002"/>
    <w:rsid w:val="00356249"/>
    <w:rsid w:val="00356EEE"/>
    <w:rsid w:val="0035739A"/>
    <w:rsid w:val="00360930"/>
    <w:rsid w:val="00361552"/>
    <w:rsid w:val="0036421D"/>
    <w:rsid w:val="00364D0A"/>
    <w:rsid w:val="003650DD"/>
    <w:rsid w:val="003659AF"/>
    <w:rsid w:val="003670AD"/>
    <w:rsid w:val="00370A3B"/>
    <w:rsid w:val="0037129A"/>
    <w:rsid w:val="00376CF9"/>
    <w:rsid w:val="003814DB"/>
    <w:rsid w:val="0038545C"/>
    <w:rsid w:val="00386898"/>
    <w:rsid w:val="00390271"/>
    <w:rsid w:val="00392201"/>
    <w:rsid w:val="0039229F"/>
    <w:rsid w:val="00392703"/>
    <w:rsid w:val="00393422"/>
    <w:rsid w:val="00394179"/>
    <w:rsid w:val="00394AE9"/>
    <w:rsid w:val="003964ED"/>
    <w:rsid w:val="003A0476"/>
    <w:rsid w:val="003A05B1"/>
    <w:rsid w:val="003A0B95"/>
    <w:rsid w:val="003A2C03"/>
    <w:rsid w:val="003A5C01"/>
    <w:rsid w:val="003A6A8D"/>
    <w:rsid w:val="003A6EC7"/>
    <w:rsid w:val="003A7849"/>
    <w:rsid w:val="003A7C61"/>
    <w:rsid w:val="003B094C"/>
    <w:rsid w:val="003B176B"/>
    <w:rsid w:val="003B23E0"/>
    <w:rsid w:val="003B3565"/>
    <w:rsid w:val="003B3FE0"/>
    <w:rsid w:val="003B4F80"/>
    <w:rsid w:val="003B64C7"/>
    <w:rsid w:val="003B6B84"/>
    <w:rsid w:val="003C0925"/>
    <w:rsid w:val="003C0F42"/>
    <w:rsid w:val="003C1568"/>
    <w:rsid w:val="003C2781"/>
    <w:rsid w:val="003C2B1F"/>
    <w:rsid w:val="003C2CDB"/>
    <w:rsid w:val="003C59FC"/>
    <w:rsid w:val="003C6145"/>
    <w:rsid w:val="003C64D1"/>
    <w:rsid w:val="003D1D92"/>
    <w:rsid w:val="003D2910"/>
    <w:rsid w:val="003D2B75"/>
    <w:rsid w:val="003D30D1"/>
    <w:rsid w:val="003D321D"/>
    <w:rsid w:val="003D35B0"/>
    <w:rsid w:val="003D47A6"/>
    <w:rsid w:val="003D4CEB"/>
    <w:rsid w:val="003D5F92"/>
    <w:rsid w:val="003D670C"/>
    <w:rsid w:val="003E0787"/>
    <w:rsid w:val="003E1228"/>
    <w:rsid w:val="003E2386"/>
    <w:rsid w:val="003E670B"/>
    <w:rsid w:val="003E6E0C"/>
    <w:rsid w:val="003F1292"/>
    <w:rsid w:val="003F2A89"/>
    <w:rsid w:val="003F2AB8"/>
    <w:rsid w:val="003F2F9F"/>
    <w:rsid w:val="003F5E8E"/>
    <w:rsid w:val="003F64F8"/>
    <w:rsid w:val="00400CE8"/>
    <w:rsid w:val="004032F7"/>
    <w:rsid w:val="004046AA"/>
    <w:rsid w:val="0040572B"/>
    <w:rsid w:val="00407018"/>
    <w:rsid w:val="00410A1C"/>
    <w:rsid w:val="0041389F"/>
    <w:rsid w:val="004154D0"/>
    <w:rsid w:val="00421897"/>
    <w:rsid w:val="00421E1A"/>
    <w:rsid w:val="0042529F"/>
    <w:rsid w:val="004256CD"/>
    <w:rsid w:val="00426829"/>
    <w:rsid w:val="00427B68"/>
    <w:rsid w:val="00430A35"/>
    <w:rsid w:val="00431455"/>
    <w:rsid w:val="00432FEA"/>
    <w:rsid w:val="0043400F"/>
    <w:rsid w:val="0043474F"/>
    <w:rsid w:val="00435A05"/>
    <w:rsid w:val="004372D5"/>
    <w:rsid w:val="004377FD"/>
    <w:rsid w:val="00437D70"/>
    <w:rsid w:val="00441C11"/>
    <w:rsid w:val="00442544"/>
    <w:rsid w:val="0044365E"/>
    <w:rsid w:val="00443CB4"/>
    <w:rsid w:val="0044469E"/>
    <w:rsid w:val="00444C27"/>
    <w:rsid w:val="00444FE6"/>
    <w:rsid w:val="0045062B"/>
    <w:rsid w:val="00451E86"/>
    <w:rsid w:val="004529E7"/>
    <w:rsid w:val="004531BF"/>
    <w:rsid w:val="00453FEF"/>
    <w:rsid w:val="004550C9"/>
    <w:rsid w:val="00456167"/>
    <w:rsid w:val="00457D7F"/>
    <w:rsid w:val="00460CBA"/>
    <w:rsid w:val="004614E1"/>
    <w:rsid w:val="004625F1"/>
    <w:rsid w:val="00462B93"/>
    <w:rsid w:val="0046490A"/>
    <w:rsid w:val="0047203A"/>
    <w:rsid w:val="0047209F"/>
    <w:rsid w:val="00472EB8"/>
    <w:rsid w:val="00473FC2"/>
    <w:rsid w:val="0047436E"/>
    <w:rsid w:val="00474D19"/>
    <w:rsid w:val="00475405"/>
    <w:rsid w:val="00475A34"/>
    <w:rsid w:val="00475ADF"/>
    <w:rsid w:val="00475E1E"/>
    <w:rsid w:val="00477266"/>
    <w:rsid w:val="00477EEF"/>
    <w:rsid w:val="00481486"/>
    <w:rsid w:val="00481A73"/>
    <w:rsid w:val="00482D20"/>
    <w:rsid w:val="004875D1"/>
    <w:rsid w:val="00490FFA"/>
    <w:rsid w:val="00492C3E"/>
    <w:rsid w:val="004941DD"/>
    <w:rsid w:val="004947F7"/>
    <w:rsid w:val="00496F35"/>
    <w:rsid w:val="004A070C"/>
    <w:rsid w:val="004A0C61"/>
    <w:rsid w:val="004A1138"/>
    <w:rsid w:val="004A3263"/>
    <w:rsid w:val="004A4465"/>
    <w:rsid w:val="004A48F5"/>
    <w:rsid w:val="004A4B7A"/>
    <w:rsid w:val="004A539E"/>
    <w:rsid w:val="004A5CC9"/>
    <w:rsid w:val="004A64B4"/>
    <w:rsid w:val="004A6F44"/>
    <w:rsid w:val="004A79F0"/>
    <w:rsid w:val="004B4661"/>
    <w:rsid w:val="004B5B99"/>
    <w:rsid w:val="004B5CE6"/>
    <w:rsid w:val="004B651E"/>
    <w:rsid w:val="004C051F"/>
    <w:rsid w:val="004C1703"/>
    <w:rsid w:val="004C3F37"/>
    <w:rsid w:val="004C451B"/>
    <w:rsid w:val="004D1069"/>
    <w:rsid w:val="004D4CD8"/>
    <w:rsid w:val="004D60D8"/>
    <w:rsid w:val="004D6150"/>
    <w:rsid w:val="004D7757"/>
    <w:rsid w:val="004D7AD4"/>
    <w:rsid w:val="004D7FB8"/>
    <w:rsid w:val="004E1A9C"/>
    <w:rsid w:val="004E2885"/>
    <w:rsid w:val="004E415D"/>
    <w:rsid w:val="004E617E"/>
    <w:rsid w:val="004E7C49"/>
    <w:rsid w:val="004F0106"/>
    <w:rsid w:val="004F0377"/>
    <w:rsid w:val="004F102A"/>
    <w:rsid w:val="004F1668"/>
    <w:rsid w:val="004F381A"/>
    <w:rsid w:val="004F4006"/>
    <w:rsid w:val="004F5036"/>
    <w:rsid w:val="004F54DB"/>
    <w:rsid w:val="004F7ADD"/>
    <w:rsid w:val="0050187A"/>
    <w:rsid w:val="005024C6"/>
    <w:rsid w:val="00502623"/>
    <w:rsid w:val="00502F89"/>
    <w:rsid w:val="005037A7"/>
    <w:rsid w:val="0050416E"/>
    <w:rsid w:val="00506744"/>
    <w:rsid w:val="0050687E"/>
    <w:rsid w:val="005078DB"/>
    <w:rsid w:val="00507E02"/>
    <w:rsid w:val="005107C5"/>
    <w:rsid w:val="00510CCC"/>
    <w:rsid w:val="00510FC5"/>
    <w:rsid w:val="0051134D"/>
    <w:rsid w:val="005138DB"/>
    <w:rsid w:val="00513BA8"/>
    <w:rsid w:val="00513FF8"/>
    <w:rsid w:val="0051637D"/>
    <w:rsid w:val="0051770C"/>
    <w:rsid w:val="005203DD"/>
    <w:rsid w:val="00520A5F"/>
    <w:rsid w:val="00524827"/>
    <w:rsid w:val="00524836"/>
    <w:rsid w:val="005250FC"/>
    <w:rsid w:val="00526343"/>
    <w:rsid w:val="00526518"/>
    <w:rsid w:val="00527C0B"/>
    <w:rsid w:val="00527E19"/>
    <w:rsid w:val="00531376"/>
    <w:rsid w:val="00531C9C"/>
    <w:rsid w:val="00532544"/>
    <w:rsid w:val="00533817"/>
    <w:rsid w:val="0053510B"/>
    <w:rsid w:val="005352FF"/>
    <w:rsid w:val="00542634"/>
    <w:rsid w:val="00542DC3"/>
    <w:rsid w:val="00543049"/>
    <w:rsid w:val="005455E6"/>
    <w:rsid w:val="00545BCF"/>
    <w:rsid w:val="00561218"/>
    <w:rsid w:val="0056242D"/>
    <w:rsid w:val="00562698"/>
    <w:rsid w:val="00562C6F"/>
    <w:rsid w:val="00566799"/>
    <w:rsid w:val="005673A4"/>
    <w:rsid w:val="00567B9C"/>
    <w:rsid w:val="00567C97"/>
    <w:rsid w:val="00567FDA"/>
    <w:rsid w:val="00570835"/>
    <w:rsid w:val="00571596"/>
    <w:rsid w:val="00571B58"/>
    <w:rsid w:val="00572162"/>
    <w:rsid w:val="00572322"/>
    <w:rsid w:val="0057439A"/>
    <w:rsid w:val="00574AE1"/>
    <w:rsid w:val="00574F43"/>
    <w:rsid w:val="00575DC6"/>
    <w:rsid w:val="00580CD1"/>
    <w:rsid w:val="00581803"/>
    <w:rsid w:val="00581CA7"/>
    <w:rsid w:val="0058601C"/>
    <w:rsid w:val="00590A5C"/>
    <w:rsid w:val="00590E09"/>
    <w:rsid w:val="00592DE3"/>
    <w:rsid w:val="00593FBA"/>
    <w:rsid w:val="005951EB"/>
    <w:rsid w:val="00596465"/>
    <w:rsid w:val="005A0A53"/>
    <w:rsid w:val="005B001C"/>
    <w:rsid w:val="005B21FE"/>
    <w:rsid w:val="005B31EF"/>
    <w:rsid w:val="005B3B86"/>
    <w:rsid w:val="005B6AD5"/>
    <w:rsid w:val="005B6B54"/>
    <w:rsid w:val="005C07C7"/>
    <w:rsid w:val="005C1786"/>
    <w:rsid w:val="005C2037"/>
    <w:rsid w:val="005C2467"/>
    <w:rsid w:val="005C2894"/>
    <w:rsid w:val="005C3D76"/>
    <w:rsid w:val="005C5A1D"/>
    <w:rsid w:val="005C67F7"/>
    <w:rsid w:val="005C71C0"/>
    <w:rsid w:val="005D09A6"/>
    <w:rsid w:val="005D3314"/>
    <w:rsid w:val="005D6C1B"/>
    <w:rsid w:val="005E1419"/>
    <w:rsid w:val="005E3967"/>
    <w:rsid w:val="005E4A90"/>
    <w:rsid w:val="005E4D44"/>
    <w:rsid w:val="005E71A8"/>
    <w:rsid w:val="005E7B2E"/>
    <w:rsid w:val="005F1A2D"/>
    <w:rsid w:val="005F204D"/>
    <w:rsid w:val="005F299F"/>
    <w:rsid w:val="005F30EF"/>
    <w:rsid w:val="005F36F2"/>
    <w:rsid w:val="005F5DA3"/>
    <w:rsid w:val="005F5F1E"/>
    <w:rsid w:val="005F67BC"/>
    <w:rsid w:val="005F6834"/>
    <w:rsid w:val="005F6E9B"/>
    <w:rsid w:val="00600FF2"/>
    <w:rsid w:val="00601AA5"/>
    <w:rsid w:val="00601EC9"/>
    <w:rsid w:val="00603855"/>
    <w:rsid w:val="00604573"/>
    <w:rsid w:val="006046C8"/>
    <w:rsid w:val="00604A7C"/>
    <w:rsid w:val="00605C81"/>
    <w:rsid w:val="00607BBF"/>
    <w:rsid w:val="00611347"/>
    <w:rsid w:val="0061177E"/>
    <w:rsid w:val="006129E3"/>
    <w:rsid w:val="006138FB"/>
    <w:rsid w:val="00614CDF"/>
    <w:rsid w:val="00616010"/>
    <w:rsid w:val="0061638A"/>
    <w:rsid w:val="00616926"/>
    <w:rsid w:val="00616AAF"/>
    <w:rsid w:val="00617048"/>
    <w:rsid w:val="006179B0"/>
    <w:rsid w:val="006200EE"/>
    <w:rsid w:val="00621757"/>
    <w:rsid w:val="00622038"/>
    <w:rsid w:val="00622A76"/>
    <w:rsid w:val="00622AD4"/>
    <w:rsid w:val="00624126"/>
    <w:rsid w:val="0062613E"/>
    <w:rsid w:val="0062726E"/>
    <w:rsid w:val="00627B69"/>
    <w:rsid w:val="0063042B"/>
    <w:rsid w:val="00630674"/>
    <w:rsid w:val="00632105"/>
    <w:rsid w:val="006333D5"/>
    <w:rsid w:val="0063597D"/>
    <w:rsid w:val="00636AA0"/>
    <w:rsid w:val="00640BF8"/>
    <w:rsid w:val="00641AA7"/>
    <w:rsid w:val="00641C71"/>
    <w:rsid w:val="0064387B"/>
    <w:rsid w:val="00644AD0"/>
    <w:rsid w:val="00644B09"/>
    <w:rsid w:val="00645345"/>
    <w:rsid w:val="00645DE1"/>
    <w:rsid w:val="00646CBA"/>
    <w:rsid w:val="00646E9D"/>
    <w:rsid w:val="006470E2"/>
    <w:rsid w:val="0064789C"/>
    <w:rsid w:val="006520DE"/>
    <w:rsid w:val="006532F1"/>
    <w:rsid w:val="00653674"/>
    <w:rsid w:val="00653879"/>
    <w:rsid w:val="006560A6"/>
    <w:rsid w:val="006574D8"/>
    <w:rsid w:val="00661067"/>
    <w:rsid w:val="006611A1"/>
    <w:rsid w:val="00662B99"/>
    <w:rsid w:val="00662E46"/>
    <w:rsid w:val="00663592"/>
    <w:rsid w:val="00667C19"/>
    <w:rsid w:val="00670A90"/>
    <w:rsid w:val="0067114E"/>
    <w:rsid w:val="006748C3"/>
    <w:rsid w:val="00675F8B"/>
    <w:rsid w:val="006768B4"/>
    <w:rsid w:val="0068082A"/>
    <w:rsid w:val="0068198C"/>
    <w:rsid w:val="00681E6A"/>
    <w:rsid w:val="00682A45"/>
    <w:rsid w:val="0068400E"/>
    <w:rsid w:val="00684760"/>
    <w:rsid w:val="00684CA3"/>
    <w:rsid w:val="00685044"/>
    <w:rsid w:val="0068586F"/>
    <w:rsid w:val="0068624A"/>
    <w:rsid w:val="006865BB"/>
    <w:rsid w:val="00687231"/>
    <w:rsid w:val="0068740D"/>
    <w:rsid w:val="00687743"/>
    <w:rsid w:val="0069088B"/>
    <w:rsid w:val="00691D83"/>
    <w:rsid w:val="00691DE4"/>
    <w:rsid w:val="00692073"/>
    <w:rsid w:val="0069296B"/>
    <w:rsid w:val="0069376B"/>
    <w:rsid w:val="006940AA"/>
    <w:rsid w:val="0069483A"/>
    <w:rsid w:val="006976AF"/>
    <w:rsid w:val="006A0AF6"/>
    <w:rsid w:val="006A14E0"/>
    <w:rsid w:val="006A185B"/>
    <w:rsid w:val="006A6304"/>
    <w:rsid w:val="006A688E"/>
    <w:rsid w:val="006A6D08"/>
    <w:rsid w:val="006A6D91"/>
    <w:rsid w:val="006B06F4"/>
    <w:rsid w:val="006B0FAF"/>
    <w:rsid w:val="006B2B35"/>
    <w:rsid w:val="006B43A8"/>
    <w:rsid w:val="006B702E"/>
    <w:rsid w:val="006B726F"/>
    <w:rsid w:val="006C1BCB"/>
    <w:rsid w:val="006C3F18"/>
    <w:rsid w:val="006C44AD"/>
    <w:rsid w:val="006C44D9"/>
    <w:rsid w:val="006C4B3E"/>
    <w:rsid w:val="006C691E"/>
    <w:rsid w:val="006C6DE3"/>
    <w:rsid w:val="006D4B05"/>
    <w:rsid w:val="006D7A31"/>
    <w:rsid w:val="006E13D5"/>
    <w:rsid w:val="006E22EC"/>
    <w:rsid w:val="006E2909"/>
    <w:rsid w:val="006E30A5"/>
    <w:rsid w:val="006E400A"/>
    <w:rsid w:val="006E5CC6"/>
    <w:rsid w:val="006F1FEF"/>
    <w:rsid w:val="006F205C"/>
    <w:rsid w:val="006F26F9"/>
    <w:rsid w:val="006F2A4E"/>
    <w:rsid w:val="006F346C"/>
    <w:rsid w:val="006F410F"/>
    <w:rsid w:val="006F4154"/>
    <w:rsid w:val="006F4BB3"/>
    <w:rsid w:val="006F4E4A"/>
    <w:rsid w:val="006F4E92"/>
    <w:rsid w:val="006F71D9"/>
    <w:rsid w:val="006F7B7F"/>
    <w:rsid w:val="00704714"/>
    <w:rsid w:val="00704AF4"/>
    <w:rsid w:val="00704B15"/>
    <w:rsid w:val="007056A0"/>
    <w:rsid w:val="00710EB4"/>
    <w:rsid w:val="00711C67"/>
    <w:rsid w:val="007122F4"/>
    <w:rsid w:val="00713B41"/>
    <w:rsid w:val="00713CF3"/>
    <w:rsid w:val="00714042"/>
    <w:rsid w:val="00715B83"/>
    <w:rsid w:val="00717D79"/>
    <w:rsid w:val="00720338"/>
    <w:rsid w:val="00720576"/>
    <w:rsid w:val="0072114C"/>
    <w:rsid w:val="007220AA"/>
    <w:rsid w:val="007227CE"/>
    <w:rsid w:val="00722BA3"/>
    <w:rsid w:val="007247BB"/>
    <w:rsid w:val="0072713F"/>
    <w:rsid w:val="0072744A"/>
    <w:rsid w:val="00727464"/>
    <w:rsid w:val="00727C47"/>
    <w:rsid w:val="00730D60"/>
    <w:rsid w:val="00734A5C"/>
    <w:rsid w:val="00736433"/>
    <w:rsid w:val="00736864"/>
    <w:rsid w:val="007371BC"/>
    <w:rsid w:val="00740A98"/>
    <w:rsid w:val="00740C60"/>
    <w:rsid w:val="00740F4C"/>
    <w:rsid w:val="0074148C"/>
    <w:rsid w:val="00741BC7"/>
    <w:rsid w:val="00742F8E"/>
    <w:rsid w:val="00743EE3"/>
    <w:rsid w:val="00745B14"/>
    <w:rsid w:val="00745D3E"/>
    <w:rsid w:val="00745ED7"/>
    <w:rsid w:val="0074710D"/>
    <w:rsid w:val="00747C3F"/>
    <w:rsid w:val="0075115E"/>
    <w:rsid w:val="007518AA"/>
    <w:rsid w:val="007528C7"/>
    <w:rsid w:val="007530D3"/>
    <w:rsid w:val="00755DA7"/>
    <w:rsid w:val="00757B01"/>
    <w:rsid w:val="007601C4"/>
    <w:rsid w:val="0076341B"/>
    <w:rsid w:val="007653DB"/>
    <w:rsid w:val="007656D7"/>
    <w:rsid w:val="0076727F"/>
    <w:rsid w:val="0077031D"/>
    <w:rsid w:val="007723B3"/>
    <w:rsid w:val="00773348"/>
    <w:rsid w:val="00774968"/>
    <w:rsid w:val="00774F19"/>
    <w:rsid w:val="0077515E"/>
    <w:rsid w:val="007759BD"/>
    <w:rsid w:val="007768FF"/>
    <w:rsid w:val="007776C4"/>
    <w:rsid w:val="00780569"/>
    <w:rsid w:val="007805BB"/>
    <w:rsid w:val="007808F5"/>
    <w:rsid w:val="00780900"/>
    <w:rsid w:val="00780D8A"/>
    <w:rsid w:val="00781217"/>
    <w:rsid w:val="00781BF4"/>
    <w:rsid w:val="007826F9"/>
    <w:rsid w:val="007837B1"/>
    <w:rsid w:val="007843D1"/>
    <w:rsid w:val="00785CF5"/>
    <w:rsid w:val="00786EDF"/>
    <w:rsid w:val="007872B1"/>
    <w:rsid w:val="00787A0E"/>
    <w:rsid w:val="007900AE"/>
    <w:rsid w:val="007901A3"/>
    <w:rsid w:val="0079045F"/>
    <w:rsid w:val="00791BC4"/>
    <w:rsid w:val="00792350"/>
    <w:rsid w:val="0079419E"/>
    <w:rsid w:val="007945CC"/>
    <w:rsid w:val="00795DA2"/>
    <w:rsid w:val="007A0F0D"/>
    <w:rsid w:val="007A17F0"/>
    <w:rsid w:val="007A2B7B"/>
    <w:rsid w:val="007A2BAE"/>
    <w:rsid w:val="007A4B5C"/>
    <w:rsid w:val="007A5C00"/>
    <w:rsid w:val="007A745D"/>
    <w:rsid w:val="007A78DD"/>
    <w:rsid w:val="007B0170"/>
    <w:rsid w:val="007B1638"/>
    <w:rsid w:val="007B1C56"/>
    <w:rsid w:val="007B234A"/>
    <w:rsid w:val="007B262A"/>
    <w:rsid w:val="007B2869"/>
    <w:rsid w:val="007B2E93"/>
    <w:rsid w:val="007B3812"/>
    <w:rsid w:val="007B4287"/>
    <w:rsid w:val="007B5F72"/>
    <w:rsid w:val="007C09D5"/>
    <w:rsid w:val="007C20D1"/>
    <w:rsid w:val="007C58AD"/>
    <w:rsid w:val="007C6207"/>
    <w:rsid w:val="007C6596"/>
    <w:rsid w:val="007C6CF1"/>
    <w:rsid w:val="007C7D0D"/>
    <w:rsid w:val="007D0D7B"/>
    <w:rsid w:val="007D21C2"/>
    <w:rsid w:val="007D2990"/>
    <w:rsid w:val="007D42BD"/>
    <w:rsid w:val="007D773A"/>
    <w:rsid w:val="007E34FE"/>
    <w:rsid w:val="007E4A6F"/>
    <w:rsid w:val="007E6654"/>
    <w:rsid w:val="007E6CFD"/>
    <w:rsid w:val="007E6DDF"/>
    <w:rsid w:val="007F040B"/>
    <w:rsid w:val="007F074D"/>
    <w:rsid w:val="007F08AA"/>
    <w:rsid w:val="007F12D5"/>
    <w:rsid w:val="007F285B"/>
    <w:rsid w:val="007F2BB1"/>
    <w:rsid w:val="007F317E"/>
    <w:rsid w:val="007F4499"/>
    <w:rsid w:val="007F7D1D"/>
    <w:rsid w:val="007F7FAA"/>
    <w:rsid w:val="00800A15"/>
    <w:rsid w:val="00800D65"/>
    <w:rsid w:val="0080530A"/>
    <w:rsid w:val="00805B49"/>
    <w:rsid w:val="0080632F"/>
    <w:rsid w:val="00806337"/>
    <w:rsid w:val="00806DDD"/>
    <w:rsid w:val="00807AE5"/>
    <w:rsid w:val="00807D0E"/>
    <w:rsid w:val="00813A30"/>
    <w:rsid w:val="00815D05"/>
    <w:rsid w:val="00815DC3"/>
    <w:rsid w:val="00815E16"/>
    <w:rsid w:val="00817EC7"/>
    <w:rsid w:val="00820A19"/>
    <w:rsid w:val="008215CA"/>
    <w:rsid w:val="00823FE7"/>
    <w:rsid w:val="0082507E"/>
    <w:rsid w:val="0082774E"/>
    <w:rsid w:val="0082794D"/>
    <w:rsid w:val="008314F1"/>
    <w:rsid w:val="0083299E"/>
    <w:rsid w:val="00832EB7"/>
    <w:rsid w:val="008334F8"/>
    <w:rsid w:val="00834027"/>
    <w:rsid w:val="00834F0D"/>
    <w:rsid w:val="00837616"/>
    <w:rsid w:val="00837A5D"/>
    <w:rsid w:val="0084016B"/>
    <w:rsid w:val="008402B6"/>
    <w:rsid w:val="0084552B"/>
    <w:rsid w:val="0084671F"/>
    <w:rsid w:val="00847178"/>
    <w:rsid w:val="008475B6"/>
    <w:rsid w:val="008518DC"/>
    <w:rsid w:val="00854215"/>
    <w:rsid w:val="00854842"/>
    <w:rsid w:val="00856A34"/>
    <w:rsid w:val="00856AB4"/>
    <w:rsid w:val="00856F8F"/>
    <w:rsid w:val="00857606"/>
    <w:rsid w:val="00861533"/>
    <w:rsid w:val="008617C0"/>
    <w:rsid w:val="00861D5E"/>
    <w:rsid w:val="008620D8"/>
    <w:rsid w:val="008627E0"/>
    <w:rsid w:val="00862F44"/>
    <w:rsid w:val="008643C3"/>
    <w:rsid w:val="008663FB"/>
    <w:rsid w:val="008670A6"/>
    <w:rsid w:val="0087237B"/>
    <w:rsid w:val="00872747"/>
    <w:rsid w:val="00872B9A"/>
    <w:rsid w:val="00873D1C"/>
    <w:rsid w:val="00874C9D"/>
    <w:rsid w:val="00874DED"/>
    <w:rsid w:val="00875B99"/>
    <w:rsid w:val="00876B09"/>
    <w:rsid w:val="008807A2"/>
    <w:rsid w:val="00880BB1"/>
    <w:rsid w:val="008821EF"/>
    <w:rsid w:val="008834B7"/>
    <w:rsid w:val="00883E86"/>
    <w:rsid w:val="008842CF"/>
    <w:rsid w:val="0088485F"/>
    <w:rsid w:val="00884F43"/>
    <w:rsid w:val="00884F70"/>
    <w:rsid w:val="00884F7F"/>
    <w:rsid w:val="00891749"/>
    <w:rsid w:val="00892F29"/>
    <w:rsid w:val="0089464E"/>
    <w:rsid w:val="00894A1D"/>
    <w:rsid w:val="00895349"/>
    <w:rsid w:val="008956DE"/>
    <w:rsid w:val="008968AA"/>
    <w:rsid w:val="00897B5C"/>
    <w:rsid w:val="008A06E7"/>
    <w:rsid w:val="008A0937"/>
    <w:rsid w:val="008A0F90"/>
    <w:rsid w:val="008A1224"/>
    <w:rsid w:val="008A1390"/>
    <w:rsid w:val="008A2A28"/>
    <w:rsid w:val="008A47E8"/>
    <w:rsid w:val="008A52DD"/>
    <w:rsid w:val="008A78E3"/>
    <w:rsid w:val="008A7F03"/>
    <w:rsid w:val="008B0B1B"/>
    <w:rsid w:val="008B1B18"/>
    <w:rsid w:val="008B4E45"/>
    <w:rsid w:val="008B6350"/>
    <w:rsid w:val="008C231E"/>
    <w:rsid w:val="008C406B"/>
    <w:rsid w:val="008C48DA"/>
    <w:rsid w:val="008C4B73"/>
    <w:rsid w:val="008C55E8"/>
    <w:rsid w:val="008C64BC"/>
    <w:rsid w:val="008C7659"/>
    <w:rsid w:val="008C78D9"/>
    <w:rsid w:val="008C7BF3"/>
    <w:rsid w:val="008C7C01"/>
    <w:rsid w:val="008C7D04"/>
    <w:rsid w:val="008D00F3"/>
    <w:rsid w:val="008D0E47"/>
    <w:rsid w:val="008D207C"/>
    <w:rsid w:val="008D3C73"/>
    <w:rsid w:val="008D58C9"/>
    <w:rsid w:val="008D63B1"/>
    <w:rsid w:val="008D7558"/>
    <w:rsid w:val="008E2599"/>
    <w:rsid w:val="008E3947"/>
    <w:rsid w:val="008E4DB5"/>
    <w:rsid w:val="008E5E7A"/>
    <w:rsid w:val="008E69A1"/>
    <w:rsid w:val="008F1EF2"/>
    <w:rsid w:val="008F26CA"/>
    <w:rsid w:val="008F5D28"/>
    <w:rsid w:val="008F68E7"/>
    <w:rsid w:val="008F7568"/>
    <w:rsid w:val="00900C95"/>
    <w:rsid w:val="00901DA5"/>
    <w:rsid w:val="00902130"/>
    <w:rsid w:val="0090268E"/>
    <w:rsid w:val="0090344D"/>
    <w:rsid w:val="00903717"/>
    <w:rsid w:val="00903E30"/>
    <w:rsid w:val="00904957"/>
    <w:rsid w:val="00905D68"/>
    <w:rsid w:val="009078AD"/>
    <w:rsid w:val="00910CE8"/>
    <w:rsid w:val="00911E2A"/>
    <w:rsid w:val="00912D9A"/>
    <w:rsid w:val="0091460C"/>
    <w:rsid w:val="009150BE"/>
    <w:rsid w:val="009151E3"/>
    <w:rsid w:val="00915BE8"/>
    <w:rsid w:val="00921B9F"/>
    <w:rsid w:val="009220A1"/>
    <w:rsid w:val="009224DD"/>
    <w:rsid w:val="009233A3"/>
    <w:rsid w:val="0092591D"/>
    <w:rsid w:val="009302D6"/>
    <w:rsid w:val="0093127C"/>
    <w:rsid w:val="00931944"/>
    <w:rsid w:val="00933003"/>
    <w:rsid w:val="009337F2"/>
    <w:rsid w:val="00935985"/>
    <w:rsid w:val="00936A03"/>
    <w:rsid w:val="00936F2F"/>
    <w:rsid w:val="00936F7B"/>
    <w:rsid w:val="009371E6"/>
    <w:rsid w:val="00941569"/>
    <w:rsid w:val="00941FA1"/>
    <w:rsid w:val="00943D68"/>
    <w:rsid w:val="009440BB"/>
    <w:rsid w:val="00945110"/>
    <w:rsid w:val="00945D44"/>
    <w:rsid w:val="00946F4B"/>
    <w:rsid w:val="00951AA4"/>
    <w:rsid w:val="00951E77"/>
    <w:rsid w:val="00951F17"/>
    <w:rsid w:val="00953ED2"/>
    <w:rsid w:val="009561DE"/>
    <w:rsid w:val="00957B84"/>
    <w:rsid w:val="00960F30"/>
    <w:rsid w:val="00961E14"/>
    <w:rsid w:val="0096245F"/>
    <w:rsid w:val="00962D1A"/>
    <w:rsid w:val="00963D19"/>
    <w:rsid w:val="00964314"/>
    <w:rsid w:val="009657B6"/>
    <w:rsid w:val="00965836"/>
    <w:rsid w:val="00967173"/>
    <w:rsid w:val="009704B2"/>
    <w:rsid w:val="009704B9"/>
    <w:rsid w:val="00972043"/>
    <w:rsid w:val="0097492A"/>
    <w:rsid w:val="00974EB8"/>
    <w:rsid w:val="00976479"/>
    <w:rsid w:val="009773E1"/>
    <w:rsid w:val="0098262F"/>
    <w:rsid w:val="00982F88"/>
    <w:rsid w:val="009850A4"/>
    <w:rsid w:val="009865DE"/>
    <w:rsid w:val="0098697D"/>
    <w:rsid w:val="0098710D"/>
    <w:rsid w:val="0098762F"/>
    <w:rsid w:val="0098785B"/>
    <w:rsid w:val="00991B83"/>
    <w:rsid w:val="00992B61"/>
    <w:rsid w:val="00993521"/>
    <w:rsid w:val="0099365A"/>
    <w:rsid w:val="00994B9E"/>
    <w:rsid w:val="00995338"/>
    <w:rsid w:val="00995B93"/>
    <w:rsid w:val="009A19D9"/>
    <w:rsid w:val="009A1A9C"/>
    <w:rsid w:val="009A1D35"/>
    <w:rsid w:val="009A3286"/>
    <w:rsid w:val="009A3FBD"/>
    <w:rsid w:val="009A4121"/>
    <w:rsid w:val="009A414E"/>
    <w:rsid w:val="009A4D07"/>
    <w:rsid w:val="009A572A"/>
    <w:rsid w:val="009A63C9"/>
    <w:rsid w:val="009A77F7"/>
    <w:rsid w:val="009B0BD3"/>
    <w:rsid w:val="009B2CB8"/>
    <w:rsid w:val="009B72C8"/>
    <w:rsid w:val="009B73C3"/>
    <w:rsid w:val="009B75CB"/>
    <w:rsid w:val="009C00F1"/>
    <w:rsid w:val="009C02F4"/>
    <w:rsid w:val="009C1CC1"/>
    <w:rsid w:val="009C47F4"/>
    <w:rsid w:val="009C5893"/>
    <w:rsid w:val="009C70F9"/>
    <w:rsid w:val="009C710F"/>
    <w:rsid w:val="009D09CC"/>
    <w:rsid w:val="009D0BD0"/>
    <w:rsid w:val="009D29AD"/>
    <w:rsid w:val="009D5151"/>
    <w:rsid w:val="009D7420"/>
    <w:rsid w:val="009E10BC"/>
    <w:rsid w:val="009E1A54"/>
    <w:rsid w:val="009E2C5B"/>
    <w:rsid w:val="009E4018"/>
    <w:rsid w:val="009E51AE"/>
    <w:rsid w:val="009E69B7"/>
    <w:rsid w:val="009F09E7"/>
    <w:rsid w:val="009F0DB4"/>
    <w:rsid w:val="009F2A42"/>
    <w:rsid w:val="009F5377"/>
    <w:rsid w:val="009F5CEB"/>
    <w:rsid w:val="009F6A91"/>
    <w:rsid w:val="00A008A9"/>
    <w:rsid w:val="00A02CD9"/>
    <w:rsid w:val="00A03904"/>
    <w:rsid w:val="00A061CD"/>
    <w:rsid w:val="00A075E6"/>
    <w:rsid w:val="00A1080B"/>
    <w:rsid w:val="00A10C16"/>
    <w:rsid w:val="00A10ED0"/>
    <w:rsid w:val="00A14683"/>
    <w:rsid w:val="00A159F7"/>
    <w:rsid w:val="00A15E96"/>
    <w:rsid w:val="00A1626E"/>
    <w:rsid w:val="00A16B96"/>
    <w:rsid w:val="00A201B7"/>
    <w:rsid w:val="00A2046D"/>
    <w:rsid w:val="00A207D3"/>
    <w:rsid w:val="00A23E05"/>
    <w:rsid w:val="00A23E45"/>
    <w:rsid w:val="00A255F3"/>
    <w:rsid w:val="00A302F7"/>
    <w:rsid w:val="00A30BC9"/>
    <w:rsid w:val="00A314F7"/>
    <w:rsid w:val="00A329FD"/>
    <w:rsid w:val="00A334CA"/>
    <w:rsid w:val="00A33ADA"/>
    <w:rsid w:val="00A3443C"/>
    <w:rsid w:val="00A35899"/>
    <w:rsid w:val="00A36618"/>
    <w:rsid w:val="00A373A4"/>
    <w:rsid w:val="00A41373"/>
    <w:rsid w:val="00A426D1"/>
    <w:rsid w:val="00A42B06"/>
    <w:rsid w:val="00A42B39"/>
    <w:rsid w:val="00A43070"/>
    <w:rsid w:val="00A43CC4"/>
    <w:rsid w:val="00A44F2B"/>
    <w:rsid w:val="00A467D9"/>
    <w:rsid w:val="00A473AC"/>
    <w:rsid w:val="00A47767"/>
    <w:rsid w:val="00A47A49"/>
    <w:rsid w:val="00A47A69"/>
    <w:rsid w:val="00A50F8E"/>
    <w:rsid w:val="00A52C60"/>
    <w:rsid w:val="00A55F04"/>
    <w:rsid w:val="00A56393"/>
    <w:rsid w:val="00A56836"/>
    <w:rsid w:val="00A60267"/>
    <w:rsid w:val="00A61216"/>
    <w:rsid w:val="00A62AEA"/>
    <w:rsid w:val="00A63C74"/>
    <w:rsid w:val="00A65189"/>
    <w:rsid w:val="00A66330"/>
    <w:rsid w:val="00A6689B"/>
    <w:rsid w:val="00A67309"/>
    <w:rsid w:val="00A6786F"/>
    <w:rsid w:val="00A67A90"/>
    <w:rsid w:val="00A67DFC"/>
    <w:rsid w:val="00A70E15"/>
    <w:rsid w:val="00A73B55"/>
    <w:rsid w:val="00A7416A"/>
    <w:rsid w:val="00A743B2"/>
    <w:rsid w:val="00A76141"/>
    <w:rsid w:val="00A76386"/>
    <w:rsid w:val="00A774C2"/>
    <w:rsid w:val="00A77DAE"/>
    <w:rsid w:val="00A80930"/>
    <w:rsid w:val="00A815A6"/>
    <w:rsid w:val="00A84F06"/>
    <w:rsid w:val="00A87666"/>
    <w:rsid w:val="00A9040A"/>
    <w:rsid w:val="00A91D98"/>
    <w:rsid w:val="00A92E7C"/>
    <w:rsid w:val="00A936A0"/>
    <w:rsid w:val="00A9433D"/>
    <w:rsid w:val="00A94CA3"/>
    <w:rsid w:val="00A9601B"/>
    <w:rsid w:val="00A9614A"/>
    <w:rsid w:val="00A96501"/>
    <w:rsid w:val="00A9677F"/>
    <w:rsid w:val="00A96D80"/>
    <w:rsid w:val="00A97573"/>
    <w:rsid w:val="00AA033B"/>
    <w:rsid w:val="00AA07FB"/>
    <w:rsid w:val="00AA1B88"/>
    <w:rsid w:val="00AA2147"/>
    <w:rsid w:val="00AA417B"/>
    <w:rsid w:val="00AA7B34"/>
    <w:rsid w:val="00AB0153"/>
    <w:rsid w:val="00AB0545"/>
    <w:rsid w:val="00AB0C37"/>
    <w:rsid w:val="00AB0E23"/>
    <w:rsid w:val="00AB1998"/>
    <w:rsid w:val="00AB22CB"/>
    <w:rsid w:val="00AB2B35"/>
    <w:rsid w:val="00AB478B"/>
    <w:rsid w:val="00AB558D"/>
    <w:rsid w:val="00AB72DD"/>
    <w:rsid w:val="00AC1DB7"/>
    <w:rsid w:val="00AC1F3E"/>
    <w:rsid w:val="00AC2168"/>
    <w:rsid w:val="00AC5391"/>
    <w:rsid w:val="00AC5594"/>
    <w:rsid w:val="00AC5788"/>
    <w:rsid w:val="00AC5E41"/>
    <w:rsid w:val="00AC7491"/>
    <w:rsid w:val="00AC7D76"/>
    <w:rsid w:val="00AE26A0"/>
    <w:rsid w:val="00AE364F"/>
    <w:rsid w:val="00AE3964"/>
    <w:rsid w:val="00AE728E"/>
    <w:rsid w:val="00AF1F6F"/>
    <w:rsid w:val="00AF261C"/>
    <w:rsid w:val="00AF3A10"/>
    <w:rsid w:val="00AF496D"/>
    <w:rsid w:val="00AF4F0D"/>
    <w:rsid w:val="00AF5EE8"/>
    <w:rsid w:val="00AF6F26"/>
    <w:rsid w:val="00AF75E6"/>
    <w:rsid w:val="00B003F0"/>
    <w:rsid w:val="00B01BA9"/>
    <w:rsid w:val="00B020AD"/>
    <w:rsid w:val="00B02AAC"/>
    <w:rsid w:val="00B035F3"/>
    <w:rsid w:val="00B03A43"/>
    <w:rsid w:val="00B03CC9"/>
    <w:rsid w:val="00B06189"/>
    <w:rsid w:val="00B06707"/>
    <w:rsid w:val="00B12773"/>
    <w:rsid w:val="00B13F38"/>
    <w:rsid w:val="00B1461C"/>
    <w:rsid w:val="00B14C0C"/>
    <w:rsid w:val="00B15439"/>
    <w:rsid w:val="00B167A9"/>
    <w:rsid w:val="00B17C8F"/>
    <w:rsid w:val="00B22D21"/>
    <w:rsid w:val="00B23552"/>
    <w:rsid w:val="00B24643"/>
    <w:rsid w:val="00B247F2"/>
    <w:rsid w:val="00B267D3"/>
    <w:rsid w:val="00B268DE"/>
    <w:rsid w:val="00B3056A"/>
    <w:rsid w:val="00B32177"/>
    <w:rsid w:val="00B32231"/>
    <w:rsid w:val="00B338FF"/>
    <w:rsid w:val="00B33C95"/>
    <w:rsid w:val="00B3443D"/>
    <w:rsid w:val="00B353CC"/>
    <w:rsid w:val="00B35CB8"/>
    <w:rsid w:val="00B36DEE"/>
    <w:rsid w:val="00B37232"/>
    <w:rsid w:val="00B37D8A"/>
    <w:rsid w:val="00B40667"/>
    <w:rsid w:val="00B4211B"/>
    <w:rsid w:val="00B438D7"/>
    <w:rsid w:val="00B47607"/>
    <w:rsid w:val="00B51CC1"/>
    <w:rsid w:val="00B52621"/>
    <w:rsid w:val="00B52DE6"/>
    <w:rsid w:val="00B52EB8"/>
    <w:rsid w:val="00B5304A"/>
    <w:rsid w:val="00B53C36"/>
    <w:rsid w:val="00B54503"/>
    <w:rsid w:val="00B5457F"/>
    <w:rsid w:val="00B55220"/>
    <w:rsid w:val="00B5522F"/>
    <w:rsid w:val="00B55978"/>
    <w:rsid w:val="00B55D70"/>
    <w:rsid w:val="00B56C2D"/>
    <w:rsid w:val="00B56F64"/>
    <w:rsid w:val="00B5768F"/>
    <w:rsid w:val="00B60703"/>
    <w:rsid w:val="00B60CE6"/>
    <w:rsid w:val="00B60F41"/>
    <w:rsid w:val="00B61BA3"/>
    <w:rsid w:val="00B669C6"/>
    <w:rsid w:val="00B71B6D"/>
    <w:rsid w:val="00B72333"/>
    <w:rsid w:val="00B72663"/>
    <w:rsid w:val="00B726E6"/>
    <w:rsid w:val="00B75322"/>
    <w:rsid w:val="00B864EB"/>
    <w:rsid w:val="00B9036D"/>
    <w:rsid w:val="00B910AA"/>
    <w:rsid w:val="00B923FC"/>
    <w:rsid w:val="00B9374A"/>
    <w:rsid w:val="00B9398A"/>
    <w:rsid w:val="00B95244"/>
    <w:rsid w:val="00B954A5"/>
    <w:rsid w:val="00B960BB"/>
    <w:rsid w:val="00B96EB9"/>
    <w:rsid w:val="00BA01EC"/>
    <w:rsid w:val="00BA0601"/>
    <w:rsid w:val="00BA2E1F"/>
    <w:rsid w:val="00BA3863"/>
    <w:rsid w:val="00BA3968"/>
    <w:rsid w:val="00BA3E7C"/>
    <w:rsid w:val="00BA4C2E"/>
    <w:rsid w:val="00BA67C9"/>
    <w:rsid w:val="00BA79FA"/>
    <w:rsid w:val="00BB06C9"/>
    <w:rsid w:val="00BB17C1"/>
    <w:rsid w:val="00BB1BF7"/>
    <w:rsid w:val="00BB1DBD"/>
    <w:rsid w:val="00BB34A1"/>
    <w:rsid w:val="00BB3D28"/>
    <w:rsid w:val="00BB43F1"/>
    <w:rsid w:val="00BB6CF4"/>
    <w:rsid w:val="00BC17BF"/>
    <w:rsid w:val="00BC6ECD"/>
    <w:rsid w:val="00BC76CA"/>
    <w:rsid w:val="00BC78B0"/>
    <w:rsid w:val="00BC7923"/>
    <w:rsid w:val="00BC7BE2"/>
    <w:rsid w:val="00BD0ED5"/>
    <w:rsid w:val="00BD1A2C"/>
    <w:rsid w:val="00BD308A"/>
    <w:rsid w:val="00BD46F7"/>
    <w:rsid w:val="00BD5677"/>
    <w:rsid w:val="00BD6E58"/>
    <w:rsid w:val="00BD7218"/>
    <w:rsid w:val="00BE0385"/>
    <w:rsid w:val="00BE21FC"/>
    <w:rsid w:val="00BE24CC"/>
    <w:rsid w:val="00BE44B0"/>
    <w:rsid w:val="00BE5413"/>
    <w:rsid w:val="00BE54D4"/>
    <w:rsid w:val="00BE581A"/>
    <w:rsid w:val="00BE5BC7"/>
    <w:rsid w:val="00BE66CD"/>
    <w:rsid w:val="00BF1D98"/>
    <w:rsid w:val="00BF2217"/>
    <w:rsid w:val="00BF227C"/>
    <w:rsid w:val="00BF4754"/>
    <w:rsid w:val="00BF4BB1"/>
    <w:rsid w:val="00BF53B1"/>
    <w:rsid w:val="00BF7764"/>
    <w:rsid w:val="00BF7BFA"/>
    <w:rsid w:val="00C0148D"/>
    <w:rsid w:val="00C0153F"/>
    <w:rsid w:val="00C02B26"/>
    <w:rsid w:val="00C0387B"/>
    <w:rsid w:val="00C047FC"/>
    <w:rsid w:val="00C04BEE"/>
    <w:rsid w:val="00C05BEE"/>
    <w:rsid w:val="00C05DA3"/>
    <w:rsid w:val="00C07E86"/>
    <w:rsid w:val="00C07F3E"/>
    <w:rsid w:val="00C10352"/>
    <w:rsid w:val="00C12129"/>
    <w:rsid w:val="00C14152"/>
    <w:rsid w:val="00C14AD6"/>
    <w:rsid w:val="00C173C6"/>
    <w:rsid w:val="00C229CB"/>
    <w:rsid w:val="00C24430"/>
    <w:rsid w:val="00C24995"/>
    <w:rsid w:val="00C24E20"/>
    <w:rsid w:val="00C25328"/>
    <w:rsid w:val="00C30A9C"/>
    <w:rsid w:val="00C30AC8"/>
    <w:rsid w:val="00C30E3E"/>
    <w:rsid w:val="00C35320"/>
    <w:rsid w:val="00C362BE"/>
    <w:rsid w:val="00C3714B"/>
    <w:rsid w:val="00C37221"/>
    <w:rsid w:val="00C40D4B"/>
    <w:rsid w:val="00C421DA"/>
    <w:rsid w:val="00C4398A"/>
    <w:rsid w:val="00C43FEF"/>
    <w:rsid w:val="00C46532"/>
    <w:rsid w:val="00C503C4"/>
    <w:rsid w:val="00C50ABC"/>
    <w:rsid w:val="00C5153D"/>
    <w:rsid w:val="00C526B2"/>
    <w:rsid w:val="00C53A56"/>
    <w:rsid w:val="00C54504"/>
    <w:rsid w:val="00C5780E"/>
    <w:rsid w:val="00C60E54"/>
    <w:rsid w:val="00C6301F"/>
    <w:rsid w:val="00C6374C"/>
    <w:rsid w:val="00C638F6"/>
    <w:rsid w:val="00C66025"/>
    <w:rsid w:val="00C66A73"/>
    <w:rsid w:val="00C66DCD"/>
    <w:rsid w:val="00C66F09"/>
    <w:rsid w:val="00C677B1"/>
    <w:rsid w:val="00C71290"/>
    <w:rsid w:val="00C77FF7"/>
    <w:rsid w:val="00C80087"/>
    <w:rsid w:val="00C80BF4"/>
    <w:rsid w:val="00C81307"/>
    <w:rsid w:val="00C81A34"/>
    <w:rsid w:val="00C83164"/>
    <w:rsid w:val="00C83453"/>
    <w:rsid w:val="00C8558D"/>
    <w:rsid w:val="00C8590B"/>
    <w:rsid w:val="00C85ADB"/>
    <w:rsid w:val="00C864C1"/>
    <w:rsid w:val="00C9057B"/>
    <w:rsid w:val="00C930C4"/>
    <w:rsid w:val="00C941BF"/>
    <w:rsid w:val="00C95C7B"/>
    <w:rsid w:val="00C97D77"/>
    <w:rsid w:val="00CA2142"/>
    <w:rsid w:val="00CA4BAC"/>
    <w:rsid w:val="00CA5D44"/>
    <w:rsid w:val="00CA70B5"/>
    <w:rsid w:val="00CA729F"/>
    <w:rsid w:val="00CA7D64"/>
    <w:rsid w:val="00CB00EB"/>
    <w:rsid w:val="00CB0A92"/>
    <w:rsid w:val="00CB0D33"/>
    <w:rsid w:val="00CB1B86"/>
    <w:rsid w:val="00CB5581"/>
    <w:rsid w:val="00CB5A92"/>
    <w:rsid w:val="00CB5F60"/>
    <w:rsid w:val="00CB6449"/>
    <w:rsid w:val="00CB6B7B"/>
    <w:rsid w:val="00CB6F8D"/>
    <w:rsid w:val="00CB78A9"/>
    <w:rsid w:val="00CB7B25"/>
    <w:rsid w:val="00CC0035"/>
    <w:rsid w:val="00CC2B35"/>
    <w:rsid w:val="00CC31A8"/>
    <w:rsid w:val="00CC3293"/>
    <w:rsid w:val="00CC330C"/>
    <w:rsid w:val="00CC4105"/>
    <w:rsid w:val="00CC45CC"/>
    <w:rsid w:val="00CC64C6"/>
    <w:rsid w:val="00CC6D17"/>
    <w:rsid w:val="00CC6F2E"/>
    <w:rsid w:val="00CC707D"/>
    <w:rsid w:val="00CC70AB"/>
    <w:rsid w:val="00CC7D26"/>
    <w:rsid w:val="00CD08A0"/>
    <w:rsid w:val="00CD3AAB"/>
    <w:rsid w:val="00CD4335"/>
    <w:rsid w:val="00CD5286"/>
    <w:rsid w:val="00CD6185"/>
    <w:rsid w:val="00CE72F0"/>
    <w:rsid w:val="00CE794D"/>
    <w:rsid w:val="00CE7FFC"/>
    <w:rsid w:val="00CF03A9"/>
    <w:rsid w:val="00CF2AF2"/>
    <w:rsid w:val="00CF329B"/>
    <w:rsid w:val="00CF4342"/>
    <w:rsid w:val="00CF610A"/>
    <w:rsid w:val="00CF79FD"/>
    <w:rsid w:val="00CF7AA0"/>
    <w:rsid w:val="00D006DA"/>
    <w:rsid w:val="00D016B0"/>
    <w:rsid w:val="00D034EA"/>
    <w:rsid w:val="00D03996"/>
    <w:rsid w:val="00D044E3"/>
    <w:rsid w:val="00D05366"/>
    <w:rsid w:val="00D059EB"/>
    <w:rsid w:val="00D07BB3"/>
    <w:rsid w:val="00D11729"/>
    <w:rsid w:val="00D117F1"/>
    <w:rsid w:val="00D12DA3"/>
    <w:rsid w:val="00D143AF"/>
    <w:rsid w:val="00D14BFD"/>
    <w:rsid w:val="00D15FFF"/>
    <w:rsid w:val="00D160EC"/>
    <w:rsid w:val="00D16B35"/>
    <w:rsid w:val="00D20506"/>
    <w:rsid w:val="00D217AE"/>
    <w:rsid w:val="00D218D3"/>
    <w:rsid w:val="00D239F1"/>
    <w:rsid w:val="00D264F1"/>
    <w:rsid w:val="00D2667B"/>
    <w:rsid w:val="00D30F55"/>
    <w:rsid w:val="00D36715"/>
    <w:rsid w:val="00D3748E"/>
    <w:rsid w:val="00D40209"/>
    <w:rsid w:val="00D40EB4"/>
    <w:rsid w:val="00D429E5"/>
    <w:rsid w:val="00D44434"/>
    <w:rsid w:val="00D44EED"/>
    <w:rsid w:val="00D45404"/>
    <w:rsid w:val="00D51E04"/>
    <w:rsid w:val="00D521F1"/>
    <w:rsid w:val="00D52A99"/>
    <w:rsid w:val="00D53DD5"/>
    <w:rsid w:val="00D54BB6"/>
    <w:rsid w:val="00D55181"/>
    <w:rsid w:val="00D564B3"/>
    <w:rsid w:val="00D567E0"/>
    <w:rsid w:val="00D571FA"/>
    <w:rsid w:val="00D605C0"/>
    <w:rsid w:val="00D652C5"/>
    <w:rsid w:val="00D65785"/>
    <w:rsid w:val="00D65DF3"/>
    <w:rsid w:val="00D66649"/>
    <w:rsid w:val="00D70ACE"/>
    <w:rsid w:val="00D71150"/>
    <w:rsid w:val="00D7139D"/>
    <w:rsid w:val="00D713D3"/>
    <w:rsid w:val="00D739B3"/>
    <w:rsid w:val="00D74ACE"/>
    <w:rsid w:val="00D76100"/>
    <w:rsid w:val="00D77F99"/>
    <w:rsid w:val="00D82B0D"/>
    <w:rsid w:val="00D82BA4"/>
    <w:rsid w:val="00D8306D"/>
    <w:rsid w:val="00D83E34"/>
    <w:rsid w:val="00D84F31"/>
    <w:rsid w:val="00D85349"/>
    <w:rsid w:val="00D86746"/>
    <w:rsid w:val="00D87137"/>
    <w:rsid w:val="00D87CE8"/>
    <w:rsid w:val="00D87D25"/>
    <w:rsid w:val="00D87F53"/>
    <w:rsid w:val="00D90072"/>
    <w:rsid w:val="00D930BD"/>
    <w:rsid w:val="00D937FF"/>
    <w:rsid w:val="00D9424E"/>
    <w:rsid w:val="00D94626"/>
    <w:rsid w:val="00D94E18"/>
    <w:rsid w:val="00D97247"/>
    <w:rsid w:val="00DA03D3"/>
    <w:rsid w:val="00DA0E94"/>
    <w:rsid w:val="00DA4135"/>
    <w:rsid w:val="00DA5B96"/>
    <w:rsid w:val="00DA654D"/>
    <w:rsid w:val="00DA6A2E"/>
    <w:rsid w:val="00DA6D05"/>
    <w:rsid w:val="00DB02B5"/>
    <w:rsid w:val="00DB0F9C"/>
    <w:rsid w:val="00DB6D6E"/>
    <w:rsid w:val="00DC20DD"/>
    <w:rsid w:val="00DC2B76"/>
    <w:rsid w:val="00DC6EAC"/>
    <w:rsid w:val="00DC71B6"/>
    <w:rsid w:val="00DD0E54"/>
    <w:rsid w:val="00DD2B6C"/>
    <w:rsid w:val="00DD2DFF"/>
    <w:rsid w:val="00DD417F"/>
    <w:rsid w:val="00DD4212"/>
    <w:rsid w:val="00DD643C"/>
    <w:rsid w:val="00DD698E"/>
    <w:rsid w:val="00DD762B"/>
    <w:rsid w:val="00DD7FE3"/>
    <w:rsid w:val="00DE0F43"/>
    <w:rsid w:val="00DE17F3"/>
    <w:rsid w:val="00DE2970"/>
    <w:rsid w:val="00DE3688"/>
    <w:rsid w:val="00DE383E"/>
    <w:rsid w:val="00DE551E"/>
    <w:rsid w:val="00DE664D"/>
    <w:rsid w:val="00DE7815"/>
    <w:rsid w:val="00DF0491"/>
    <w:rsid w:val="00DF073D"/>
    <w:rsid w:val="00DF11C6"/>
    <w:rsid w:val="00DF122F"/>
    <w:rsid w:val="00DF223F"/>
    <w:rsid w:val="00DF5C7A"/>
    <w:rsid w:val="00DF63CA"/>
    <w:rsid w:val="00E009E3"/>
    <w:rsid w:val="00E0123A"/>
    <w:rsid w:val="00E0200B"/>
    <w:rsid w:val="00E022D7"/>
    <w:rsid w:val="00E02470"/>
    <w:rsid w:val="00E02A86"/>
    <w:rsid w:val="00E03490"/>
    <w:rsid w:val="00E04471"/>
    <w:rsid w:val="00E05175"/>
    <w:rsid w:val="00E1156C"/>
    <w:rsid w:val="00E1269D"/>
    <w:rsid w:val="00E1276D"/>
    <w:rsid w:val="00E12922"/>
    <w:rsid w:val="00E12BDA"/>
    <w:rsid w:val="00E132C8"/>
    <w:rsid w:val="00E167AB"/>
    <w:rsid w:val="00E2077F"/>
    <w:rsid w:val="00E20A45"/>
    <w:rsid w:val="00E219C6"/>
    <w:rsid w:val="00E25868"/>
    <w:rsid w:val="00E26435"/>
    <w:rsid w:val="00E30BCF"/>
    <w:rsid w:val="00E30D72"/>
    <w:rsid w:val="00E343D6"/>
    <w:rsid w:val="00E351D2"/>
    <w:rsid w:val="00E372C0"/>
    <w:rsid w:val="00E37A24"/>
    <w:rsid w:val="00E37F4A"/>
    <w:rsid w:val="00E40566"/>
    <w:rsid w:val="00E40ED4"/>
    <w:rsid w:val="00E425FD"/>
    <w:rsid w:val="00E45B0B"/>
    <w:rsid w:val="00E460F0"/>
    <w:rsid w:val="00E46749"/>
    <w:rsid w:val="00E50A88"/>
    <w:rsid w:val="00E50DAE"/>
    <w:rsid w:val="00E51995"/>
    <w:rsid w:val="00E51D25"/>
    <w:rsid w:val="00E51F4A"/>
    <w:rsid w:val="00E52C97"/>
    <w:rsid w:val="00E55C37"/>
    <w:rsid w:val="00E56E71"/>
    <w:rsid w:val="00E572D3"/>
    <w:rsid w:val="00E5749A"/>
    <w:rsid w:val="00E6026B"/>
    <w:rsid w:val="00E60E27"/>
    <w:rsid w:val="00E61ED0"/>
    <w:rsid w:val="00E62A2C"/>
    <w:rsid w:val="00E62A7A"/>
    <w:rsid w:val="00E64586"/>
    <w:rsid w:val="00E6492D"/>
    <w:rsid w:val="00E64B17"/>
    <w:rsid w:val="00E64CF3"/>
    <w:rsid w:val="00E65DB5"/>
    <w:rsid w:val="00E661E2"/>
    <w:rsid w:val="00E66EFE"/>
    <w:rsid w:val="00E6756E"/>
    <w:rsid w:val="00E67836"/>
    <w:rsid w:val="00E67A02"/>
    <w:rsid w:val="00E70DE0"/>
    <w:rsid w:val="00E71268"/>
    <w:rsid w:val="00E7249C"/>
    <w:rsid w:val="00E73608"/>
    <w:rsid w:val="00E73A75"/>
    <w:rsid w:val="00E8103F"/>
    <w:rsid w:val="00E8203B"/>
    <w:rsid w:val="00E83901"/>
    <w:rsid w:val="00E83929"/>
    <w:rsid w:val="00E83B7C"/>
    <w:rsid w:val="00E84017"/>
    <w:rsid w:val="00E8508E"/>
    <w:rsid w:val="00E859B0"/>
    <w:rsid w:val="00E86A2E"/>
    <w:rsid w:val="00E87A03"/>
    <w:rsid w:val="00E87B4A"/>
    <w:rsid w:val="00E90680"/>
    <w:rsid w:val="00E91A92"/>
    <w:rsid w:val="00E94C45"/>
    <w:rsid w:val="00E95303"/>
    <w:rsid w:val="00E95452"/>
    <w:rsid w:val="00E9566B"/>
    <w:rsid w:val="00E967D5"/>
    <w:rsid w:val="00E96A10"/>
    <w:rsid w:val="00E97834"/>
    <w:rsid w:val="00EA032F"/>
    <w:rsid w:val="00EA05B0"/>
    <w:rsid w:val="00EA27D3"/>
    <w:rsid w:val="00EA28C0"/>
    <w:rsid w:val="00EA29B7"/>
    <w:rsid w:val="00EA2DCD"/>
    <w:rsid w:val="00EA313B"/>
    <w:rsid w:val="00EA54B8"/>
    <w:rsid w:val="00EA715E"/>
    <w:rsid w:val="00EA7488"/>
    <w:rsid w:val="00EB0579"/>
    <w:rsid w:val="00EB0F45"/>
    <w:rsid w:val="00EB35AE"/>
    <w:rsid w:val="00EB3954"/>
    <w:rsid w:val="00EC0383"/>
    <w:rsid w:val="00EC0C11"/>
    <w:rsid w:val="00EC1608"/>
    <w:rsid w:val="00EC3DA3"/>
    <w:rsid w:val="00EC42B8"/>
    <w:rsid w:val="00EC45F8"/>
    <w:rsid w:val="00EC503E"/>
    <w:rsid w:val="00EC528E"/>
    <w:rsid w:val="00EC5B65"/>
    <w:rsid w:val="00EC684B"/>
    <w:rsid w:val="00EC6967"/>
    <w:rsid w:val="00ED08AF"/>
    <w:rsid w:val="00ED1676"/>
    <w:rsid w:val="00ED1EEA"/>
    <w:rsid w:val="00ED482C"/>
    <w:rsid w:val="00ED4E00"/>
    <w:rsid w:val="00ED4F75"/>
    <w:rsid w:val="00ED5420"/>
    <w:rsid w:val="00EE0D34"/>
    <w:rsid w:val="00EE4212"/>
    <w:rsid w:val="00EE5D4F"/>
    <w:rsid w:val="00EE5F23"/>
    <w:rsid w:val="00EE6CCC"/>
    <w:rsid w:val="00EF077E"/>
    <w:rsid w:val="00EF4AC4"/>
    <w:rsid w:val="00EF4CFB"/>
    <w:rsid w:val="00EF661B"/>
    <w:rsid w:val="00F0020E"/>
    <w:rsid w:val="00F00CCE"/>
    <w:rsid w:val="00F01D4D"/>
    <w:rsid w:val="00F03505"/>
    <w:rsid w:val="00F03870"/>
    <w:rsid w:val="00F0416F"/>
    <w:rsid w:val="00F045DC"/>
    <w:rsid w:val="00F04CB1"/>
    <w:rsid w:val="00F0534A"/>
    <w:rsid w:val="00F056B6"/>
    <w:rsid w:val="00F0628F"/>
    <w:rsid w:val="00F106ED"/>
    <w:rsid w:val="00F10822"/>
    <w:rsid w:val="00F10832"/>
    <w:rsid w:val="00F10E36"/>
    <w:rsid w:val="00F121EF"/>
    <w:rsid w:val="00F126E3"/>
    <w:rsid w:val="00F149F9"/>
    <w:rsid w:val="00F15236"/>
    <w:rsid w:val="00F16F96"/>
    <w:rsid w:val="00F17611"/>
    <w:rsid w:val="00F21F9E"/>
    <w:rsid w:val="00F2364E"/>
    <w:rsid w:val="00F249EA"/>
    <w:rsid w:val="00F25E13"/>
    <w:rsid w:val="00F3089C"/>
    <w:rsid w:val="00F3382B"/>
    <w:rsid w:val="00F34A2C"/>
    <w:rsid w:val="00F37ED9"/>
    <w:rsid w:val="00F41EA0"/>
    <w:rsid w:val="00F42BDF"/>
    <w:rsid w:val="00F42ECC"/>
    <w:rsid w:val="00F43B13"/>
    <w:rsid w:val="00F450E0"/>
    <w:rsid w:val="00F451C2"/>
    <w:rsid w:val="00F46387"/>
    <w:rsid w:val="00F50680"/>
    <w:rsid w:val="00F50A6D"/>
    <w:rsid w:val="00F53321"/>
    <w:rsid w:val="00F55518"/>
    <w:rsid w:val="00F557B3"/>
    <w:rsid w:val="00F6179F"/>
    <w:rsid w:val="00F632EF"/>
    <w:rsid w:val="00F633C5"/>
    <w:rsid w:val="00F633CE"/>
    <w:rsid w:val="00F64B1C"/>
    <w:rsid w:val="00F65340"/>
    <w:rsid w:val="00F666B2"/>
    <w:rsid w:val="00F66E15"/>
    <w:rsid w:val="00F670AF"/>
    <w:rsid w:val="00F67DFC"/>
    <w:rsid w:val="00F70026"/>
    <w:rsid w:val="00F70E64"/>
    <w:rsid w:val="00F73DB8"/>
    <w:rsid w:val="00F75101"/>
    <w:rsid w:val="00F760CD"/>
    <w:rsid w:val="00F7665A"/>
    <w:rsid w:val="00F81A88"/>
    <w:rsid w:val="00F83302"/>
    <w:rsid w:val="00F83628"/>
    <w:rsid w:val="00F8410F"/>
    <w:rsid w:val="00F8566B"/>
    <w:rsid w:val="00F85E76"/>
    <w:rsid w:val="00F86344"/>
    <w:rsid w:val="00F86434"/>
    <w:rsid w:val="00F9007C"/>
    <w:rsid w:val="00F957DF"/>
    <w:rsid w:val="00F96947"/>
    <w:rsid w:val="00F96D01"/>
    <w:rsid w:val="00FA0C73"/>
    <w:rsid w:val="00FA227E"/>
    <w:rsid w:val="00FA2B9A"/>
    <w:rsid w:val="00FA3891"/>
    <w:rsid w:val="00FA3FFD"/>
    <w:rsid w:val="00FA4A8D"/>
    <w:rsid w:val="00FA5CD7"/>
    <w:rsid w:val="00FA7BB7"/>
    <w:rsid w:val="00FB04B8"/>
    <w:rsid w:val="00FB1FD6"/>
    <w:rsid w:val="00FB2802"/>
    <w:rsid w:val="00FB2B0C"/>
    <w:rsid w:val="00FB4178"/>
    <w:rsid w:val="00FB4A8B"/>
    <w:rsid w:val="00FB5924"/>
    <w:rsid w:val="00FC1244"/>
    <w:rsid w:val="00FC1848"/>
    <w:rsid w:val="00FC5162"/>
    <w:rsid w:val="00FC53B7"/>
    <w:rsid w:val="00FC5DC4"/>
    <w:rsid w:val="00FC763D"/>
    <w:rsid w:val="00FC7E15"/>
    <w:rsid w:val="00FC7EE2"/>
    <w:rsid w:val="00FD2EDA"/>
    <w:rsid w:val="00FD3599"/>
    <w:rsid w:val="00FD44F2"/>
    <w:rsid w:val="00FD49D0"/>
    <w:rsid w:val="00FD4AEC"/>
    <w:rsid w:val="00FD6EA2"/>
    <w:rsid w:val="00FE00E5"/>
    <w:rsid w:val="00FE02BC"/>
    <w:rsid w:val="00FE3382"/>
    <w:rsid w:val="00FE34E7"/>
    <w:rsid w:val="00FE354C"/>
    <w:rsid w:val="00FE3E5F"/>
    <w:rsid w:val="00FE4D7D"/>
    <w:rsid w:val="00FE4EA2"/>
    <w:rsid w:val="00FE523D"/>
    <w:rsid w:val="00FE6183"/>
    <w:rsid w:val="00FE6361"/>
    <w:rsid w:val="00FE65F2"/>
    <w:rsid w:val="00FE6A21"/>
    <w:rsid w:val="00FF0D3E"/>
    <w:rsid w:val="00FF2D04"/>
    <w:rsid w:val="00FF3671"/>
    <w:rsid w:val="00FF41E6"/>
    <w:rsid w:val="00FF45BA"/>
    <w:rsid w:val="00FF53F9"/>
    <w:rsid w:val="00FF5679"/>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AAF"/>
  </w:style>
  <w:style w:type="paragraph" w:styleId="Heading1">
    <w:name w:val="heading 1"/>
    <w:basedOn w:val="Normal"/>
    <w:next w:val="Normal"/>
    <w:link w:val="Heading1Char"/>
    <w:uiPriority w:val="9"/>
    <w:qFormat/>
    <w:rsid w:val="00527E19"/>
    <w:pPr>
      <w:keepNext/>
      <w:keepLines/>
      <w:numPr>
        <w:numId w:val="2"/>
      </w:numPr>
      <w:shd w:val="clear" w:color="auto" w:fill="BDD6EE" w:themeFill="accent1" w:themeFillTint="66"/>
      <w:spacing w:before="400" w:after="40" w:line="240" w:lineRule="auto"/>
      <w:ind w:left="360"/>
      <w:outlineLvl w:val="0"/>
    </w:pPr>
    <w:rPr>
      <w:rFonts w:asciiTheme="majorHAnsi" w:eastAsiaTheme="majorEastAsia" w:hAnsiTheme="majorHAnsi" w:cstheme="majorBidi"/>
      <w:b/>
      <w:caps/>
      <w:sz w:val="28"/>
      <w:szCs w:val="28"/>
    </w:rPr>
  </w:style>
  <w:style w:type="paragraph" w:styleId="Heading2">
    <w:name w:val="heading 2"/>
    <w:basedOn w:val="Normal"/>
    <w:next w:val="Normal"/>
    <w:link w:val="Heading2Char"/>
    <w:uiPriority w:val="9"/>
    <w:unhideWhenUsed/>
    <w:qFormat/>
    <w:rsid w:val="00527E19"/>
    <w:pPr>
      <w:keepNext/>
      <w:keepLines/>
      <w:spacing w:before="240" w:after="0" w:line="240" w:lineRule="auto"/>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F8410F"/>
    <w:pPr>
      <w:keepNext/>
      <w:keepLines/>
      <w:spacing w:before="120" w:after="0" w:line="240" w:lineRule="auto"/>
      <w:outlineLvl w:val="2"/>
    </w:pPr>
    <w:rPr>
      <w:rFonts w:asciiTheme="majorHAnsi" w:eastAsiaTheme="majorEastAsia" w:hAnsiTheme="majorHAnsi" w:cstheme="majorBidi"/>
      <w:b/>
      <w:i/>
      <w:szCs w:val="28"/>
    </w:rPr>
  </w:style>
  <w:style w:type="paragraph" w:styleId="Heading4">
    <w:name w:val="heading 4"/>
    <w:basedOn w:val="Normal"/>
    <w:next w:val="Normal"/>
    <w:link w:val="Heading4Char"/>
    <w:uiPriority w:val="9"/>
    <w:semiHidden/>
    <w:unhideWhenUsed/>
    <w:qFormat/>
    <w:rsid w:val="00616AAF"/>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616AAF"/>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616AAF"/>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616AAF"/>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616AAF"/>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616AAF"/>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FA3FFD"/>
    <w:pPr>
      <w:spacing w:before="120" w:after="120" w:line="240" w:lineRule="auto"/>
      <w:ind w:firstLine="851"/>
    </w:pPr>
    <w:rPr>
      <w:rFonts w:cstheme="minorHAnsi"/>
      <w:b/>
      <w:bCs/>
      <w:caps/>
      <w:szCs w:val="20"/>
    </w:rPr>
  </w:style>
  <w:style w:type="character" w:customStyle="1" w:styleId="Heading1Char">
    <w:name w:val="Heading 1 Char"/>
    <w:basedOn w:val="DefaultParagraphFont"/>
    <w:link w:val="Heading1"/>
    <w:uiPriority w:val="9"/>
    <w:rsid w:val="00527E19"/>
    <w:rPr>
      <w:rFonts w:asciiTheme="majorHAnsi" w:eastAsiaTheme="majorEastAsia" w:hAnsiTheme="majorHAnsi" w:cstheme="majorBidi"/>
      <w:b/>
      <w:caps/>
      <w:sz w:val="28"/>
      <w:szCs w:val="28"/>
      <w:shd w:val="clear" w:color="auto" w:fill="BDD6EE" w:themeFill="accent1" w:themeFillTint="66"/>
    </w:rPr>
  </w:style>
  <w:style w:type="character" w:customStyle="1" w:styleId="Heading2Char">
    <w:name w:val="Heading 2 Char"/>
    <w:basedOn w:val="DefaultParagraphFont"/>
    <w:link w:val="Heading2"/>
    <w:uiPriority w:val="9"/>
    <w:rsid w:val="00527E19"/>
    <w:rPr>
      <w:rFonts w:asciiTheme="majorHAnsi" w:eastAsiaTheme="majorEastAsia" w:hAnsiTheme="majorHAnsi" w:cstheme="majorBidi"/>
      <w:b/>
      <w:sz w:val="28"/>
      <w:szCs w:val="28"/>
    </w:rPr>
  </w:style>
  <w:style w:type="character" w:customStyle="1" w:styleId="Heading3Char">
    <w:name w:val="Heading 3 Char"/>
    <w:basedOn w:val="DefaultParagraphFont"/>
    <w:link w:val="Heading3"/>
    <w:uiPriority w:val="9"/>
    <w:rsid w:val="00F8410F"/>
    <w:rPr>
      <w:rFonts w:asciiTheme="majorHAnsi" w:eastAsiaTheme="majorEastAsia" w:hAnsiTheme="majorHAnsi" w:cstheme="majorBidi"/>
      <w:b/>
      <w:i/>
      <w:szCs w:val="28"/>
    </w:rPr>
  </w:style>
  <w:style w:type="character" w:customStyle="1" w:styleId="Heading4Char">
    <w:name w:val="Heading 4 Char"/>
    <w:basedOn w:val="DefaultParagraphFont"/>
    <w:link w:val="Heading4"/>
    <w:uiPriority w:val="9"/>
    <w:semiHidden/>
    <w:rsid w:val="00616AAF"/>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616AAF"/>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616AAF"/>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616AAF"/>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616AAF"/>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616AAF"/>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unhideWhenUsed/>
    <w:qFormat/>
    <w:rsid w:val="00527E19"/>
    <w:pPr>
      <w:spacing w:line="240" w:lineRule="auto"/>
      <w:jc w:val="center"/>
    </w:pPr>
    <w:rPr>
      <w:rFonts w:ascii="Arial" w:hAnsi="Arial" w:cs="Arial"/>
      <w:b/>
      <w:bCs/>
      <w:color w:val="595959" w:themeColor="text1" w:themeTint="A6"/>
      <w:sz w:val="24"/>
      <w:szCs w:val="24"/>
    </w:rPr>
  </w:style>
  <w:style w:type="paragraph" w:styleId="Title">
    <w:name w:val="Title"/>
    <w:basedOn w:val="Normal"/>
    <w:next w:val="Normal"/>
    <w:link w:val="TitleChar"/>
    <w:uiPriority w:val="10"/>
    <w:qFormat/>
    <w:rsid w:val="00897B5C"/>
    <w:pPr>
      <w:shd w:val="clear" w:color="auto" w:fill="2E74B5" w:themeFill="accent1" w:themeFillShade="BF"/>
      <w:spacing w:after="0" w:line="240" w:lineRule="auto"/>
      <w:contextualSpacing/>
      <w:jc w:val="center"/>
    </w:pPr>
    <w:rPr>
      <w:rFonts w:asciiTheme="majorHAnsi" w:eastAsiaTheme="majorEastAsia" w:hAnsiTheme="majorHAnsi" w:cstheme="majorBidi"/>
      <w:b/>
      <w:caps/>
      <w:color w:val="FFFFFF" w:themeColor="background1"/>
      <w:spacing w:val="-10"/>
      <w:sz w:val="32"/>
      <w:szCs w:val="72"/>
    </w:rPr>
  </w:style>
  <w:style w:type="character" w:customStyle="1" w:styleId="TitleChar">
    <w:name w:val="Title Char"/>
    <w:basedOn w:val="DefaultParagraphFont"/>
    <w:link w:val="Title"/>
    <w:uiPriority w:val="10"/>
    <w:rsid w:val="00897B5C"/>
    <w:rPr>
      <w:rFonts w:asciiTheme="majorHAnsi" w:eastAsiaTheme="majorEastAsia" w:hAnsiTheme="majorHAnsi" w:cstheme="majorBidi"/>
      <w:b/>
      <w:caps/>
      <w:color w:val="FFFFFF" w:themeColor="background1"/>
      <w:spacing w:val="-10"/>
      <w:sz w:val="32"/>
      <w:szCs w:val="72"/>
      <w:shd w:val="clear" w:color="auto" w:fill="2E74B5" w:themeFill="accent1" w:themeFillShade="BF"/>
    </w:rPr>
  </w:style>
  <w:style w:type="paragraph" w:styleId="Subtitle">
    <w:name w:val="Subtitle"/>
    <w:basedOn w:val="Normal"/>
    <w:next w:val="Normal"/>
    <w:link w:val="SubtitleChar"/>
    <w:uiPriority w:val="11"/>
    <w:qFormat/>
    <w:rsid w:val="00616AAF"/>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616AAF"/>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616AAF"/>
    <w:rPr>
      <w:b/>
      <w:bCs/>
    </w:rPr>
  </w:style>
  <w:style w:type="character" w:styleId="Emphasis">
    <w:name w:val="Emphasis"/>
    <w:basedOn w:val="DefaultParagraphFont"/>
    <w:uiPriority w:val="20"/>
    <w:qFormat/>
    <w:rsid w:val="00616AAF"/>
    <w:rPr>
      <w:i/>
      <w:iCs/>
    </w:rPr>
  </w:style>
  <w:style w:type="paragraph" w:styleId="NoSpacing">
    <w:name w:val="No Spacing"/>
    <w:uiPriority w:val="1"/>
    <w:qFormat/>
    <w:rsid w:val="00616AAF"/>
    <w:pPr>
      <w:spacing w:after="0" w:line="240" w:lineRule="auto"/>
    </w:pPr>
  </w:style>
  <w:style w:type="paragraph" w:styleId="Quote">
    <w:name w:val="Quote"/>
    <w:basedOn w:val="Normal"/>
    <w:next w:val="Normal"/>
    <w:link w:val="QuoteChar"/>
    <w:uiPriority w:val="29"/>
    <w:qFormat/>
    <w:rsid w:val="00616AAF"/>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616AAF"/>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616AAF"/>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616AAF"/>
    <w:rPr>
      <w:color w:val="404040" w:themeColor="text1" w:themeTint="BF"/>
      <w:sz w:val="32"/>
      <w:szCs w:val="32"/>
    </w:rPr>
  </w:style>
  <w:style w:type="character" w:styleId="SubtleEmphasis">
    <w:name w:val="Subtle Emphasis"/>
    <w:basedOn w:val="DefaultParagraphFont"/>
    <w:uiPriority w:val="19"/>
    <w:qFormat/>
    <w:rsid w:val="00616AAF"/>
    <w:rPr>
      <w:i/>
      <w:iCs/>
      <w:color w:val="595959" w:themeColor="text1" w:themeTint="A6"/>
    </w:rPr>
  </w:style>
  <w:style w:type="character" w:styleId="IntenseEmphasis">
    <w:name w:val="Intense Emphasis"/>
    <w:basedOn w:val="DefaultParagraphFont"/>
    <w:uiPriority w:val="21"/>
    <w:qFormat/>
    <w:rsid w:val="00616AAF"/>
    <w:rPr>
      <w:b/>
      <w:bCs/>
      <w:i/>
      <w:iCs/>
    </w:rPr>
  </w:style>
  <w:style w:type="character" w:styleId="SubtleReference">
    <w:name w:val="Subtle Reference"/>
    <w:basedOn w:val="DefaultParagraphFont"/>
    <w:uiPriority w:val="31"/>
    <w:qFormat/>
    <w:rsid w:val="00616AA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16AAF"/>
    <w:rPr>
      <w:b/>
      <w:bCs/>
      <w:caps w:val="0"/>
      <w:smallCaps/>
      <w:color w:val="auto"/>
      <w:spacing w:val="3"/>
      <w:u w:val="single"/>
    </w:rPr>
  </w:style>
  <w:style w:type="character" w:styleId="BookTitle">
    <w:name w:val="Book Title"/>
    <w:basedOn w:val="DefaultParagraphFont"/>
    <w:uiPriority w:val="33"/>
    <w:qFormat/>
    <w:rsid w:val="00616AAF"/>
    <w:rPr>
      <w:b/>
      <w:bCs/>
      <w:smallCaps/>
      <w:spacing w:val="7"/>
    </w:rPr>
  </w:style>
  <w:style w:type="paragraph" w:styleId="TOCHeading">
    <w:name w:val="TOC Heading"/>
    <w:basedOn w:val="Heading1"/>
    <w:next w:val="Normal"/>
    <w:uiPriority w:val="39"/>
    <w:semiHidden/>
    <w:unhideWhenUsed/>
    <w:qFormat/>
    <w:rsid w:val="00616AAF"/>
    <w:pPr>
      <w:outlineLvl w:val="9"/>
    </w:pPr>
  </w:style>
  <w:style w:type="paragraph" w:customStyle="1" w:styleId="Style1">
    <w:name w:val="Style1"/>
    <w:basedOn w:val="Normal"/>
    <w:link w:val="Style1Char"/>
    <w:qFormat/>
    <w:rsid w:val="00527E19"/>
    <w:pPr>
      <w:numPr>
        <w:numId w:val="5"/>
      </w:numPr>
      <w:spacing w:before="100" w:beforeAutospacing="1" w:after="200" w:line="276" w:lineRule="auto"/>
      <w:ind w:left="540" w:hanging="540"/>
    </w:pPr>
    <w:rPr>
      <w:rFonts w:ascii="Arial" w:hAnsi="Arial" w:cs="Arial"/>
      <w:sz w:val="24"/>
      <w:szCs w:val="24"/>
    </w:rPr>
  </w:style>
  <w:style w:type="character" w:customStyle="1" w:styleId="Style1Char">
    <w:name w:val="Style1 Char"/>
    <w:basedOn w:val="DefaultParagraphFont"/>
    <w:link w:val="Style1"/>
    <w:rsid w:val="00527E19"/>
    <w:rPr>
      <w:rFonts w:ascii="Arial" w:hAnsi="Arial" w:cs="Arial"/>
      <w:sz w:val="24"/>
      <w:szCs w:val="24"/>
    </w:rPr>
  </w:style>
  <w:style w:type="paragraph" w:styleId="Header">
    <w:name w:val="header"/>
    <w:basedOn w:val="Normal"/>
    <w:link w:val="HeaderChar"/>
    <w:uiPriority w:val="99"/>
    <w:unhideWhenUsed/>
    <w:rsid w:val="004340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00F"/>
  </w:style>
  <w:style w:type="paragraph" w:styleId="Footer">
    <w:name w:val="footer"/>
    <w:basedOn w:val="Normal"/>
    <w:link w:val="FooterChar"/>
    <w:uiPriority w:val="99"/>
    <w:unhideWhenUsed/>
    <w:rsid w:val="004340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00F"/>
  </w:style>
  <w:style w:type="paragraph" w:styleId="FootnoteText">
    <w:name w:val="footnote text"/>
    <w:basedOn w:val="Normal"/>
    <w:link w:val="FootnoteTextChar"/>
    <w:uiPriority w:val="99"/>
    <w:semiHidden/>
    <w:unhideWhenUsed/>
    <w:rsid w:val="006138FB"/>
    <w:pPr>
      <w:spacing w:after="0" w:line="240" w:lineRule="auto"/>
    </w:pPr>
    <w:rPr>
      <w:sz w:val="20"/>
      <w:szCs w:val="20"/>
      <w:lang w:val="en-CA" w:eastAsia="en-CA"/>
    </w:rPr>
  </w:style>
  <w:style w:type="character" w:customStyle="1" w:styleId="FootnoteTextChar">
    <w:name w:val="Footnote Text Char"/>
    <w:basedOn w:val="DefaultParagraphFont"/>
    <w:link w:val="FootnoteText"/>
    <w:uiPriority w:val="99"/>
    <w:semiHidden/>
    <w:rsid w:val="006138FB"/>
    <w:rPr>
      <w:sz w:val="20"/>
      <w:szCs w:val="20"/>
      <w:lang w:val="en-CA" w:eastAsia="en-CA"/>
    </w:rPr>
  </w:style>
  <w:style w:type="paragraph" w:styleId="ListParagraph">
    <w:name w:val="List Paragraph"/>
    <w:basedOn w:val="Normal"/>
    <w:link w:val="ListParagraphChar"/>
    <w:uiPriority w:val="34"/>
    <w:qFormat/>
    <w:rsid w:val="00DE0F43"/>
    <w:pPr>
      <w:ind w:left="720"/>
      <w:contextualSpacing/>
    </w:pPr>
  </w:style>
  <w:style w:type="table" w:styleId="TableGrid">
    <w:name w:val="Table Grid"/>
    <w:basedOn w:val="TableNormal"/>
    <w:uiPriority w:val="59"/>
    <w:rsid w:val="00E51D25"/>
    <w:pPr>
      <w:spacing w:after="0" w:line="240" w:lineRule="auto"/>
    </w:pPr>
    <w:rPr>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27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E19"/>
    <w:rPr>
      <w:rFonts w:ascii="Tahoma" w:hAnsi="Tahoma" w:cs="Tahoma"/>
      <w:sz w:val="16"/>
      <w:szCs w:val="16"/>
    </w:rPr>
  </w:style>
  <w:style w:type="paragraph" w:customStyle="1" w:styleId="bulletstyle">
    <w:name w:val="bullet style"/>
    <w:basedOn w:val="ListParagraph"/>
    <w:link w:val="bulletstyleChar"/>
    <w:qFormat/>
    <w:rsid w:val="00527E19"/>
    <w:pPr>
      <w:numPr>
        <w:numId w:val="44"/>
      </w:numPr>
      <w:spacing w:after="200" w:line="276" w:lineRule="auto"/>
      <w:ind w:left="900"/>
    </w:pPr>
    <w:rPr>
      <w:rFonts w:ascii="Arial" w:hAnsi="Arial" w:cs="Arial"/>
      <w:sz w:val="24"/>
      <w:szCs w:val="24"/>
    </w:rPr>
  </w:style>
  <w:style w:type="character" w:customStyle="1" w:styleId="ListParagraphChar">
    <w:name w:val="List Paragraph Char"/>
    <w:basedOn w:val="DefaultParagraphFont"/>
    <w:link w:val="ListParagraph"/>
    <w:uiPriority w:val="34"/>
    <w:rsid w:val="00527E19"/>
  </w:style>
  <w:style w:type="character" w:customStyle="1" w:styleId="bulletstyleChar">
    <w:name w:val="bullet style Char"/>
    <w:basedOn w:val="ListParagraphChar"/>
    <w:link w:val="bulletstyle"/>
    <w:rsid w:val="00527E19"/>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36198562">
      <w:bodyDiv w:val="1"/>
      <w:marLeft w:val="0"/>
      <w:marRight w:val="0"/>
      <w:marTop w:val="0"/>
      <w:marBottom w:val="0"/>
      <w:divBdr>
        <w:top w:val="none" w:sz="0" w:space="0" w:color="auto"/>
        <w:left w:val="none" w:sz="0" w:space="0" w:color="auto"/>
        <w:bottom w:val="none" w:sz="0" w:space="0" w:color="auto"/>
        <w:right w:val="none" w:sz="0" w:space="0" w:color="auto"/>
      </w:divBdr>
    </w:div>
    <w:div w:id="36398145">
      <w:bodyDiv w:val="1"/>
      <w:marLeft w:val="0"/>
      <w:marRight w:val="0"/>
      <w:marTop w:val="0"/>
      <w:marBottom w:val="0"/>
      <w:divBdr>
        <w:top w:val="none" w:sz="0" w:space="0" w:color="auto"/>
        <w:left w:val="none" w:sz="0" w:space="0" w:color="auto"/>
        <w:bottom w:val="none" w:sz="0" w:space="0" w:color="auto"/>
        <w:right w:val="none" w:sz="0" w:space="0" w:color="auto"/>
      </w:divBdr>
    </w:div>
    <w:div w:id="87386195">
      <w:bodyDiv w:val="1"/>
      <w:marLeft w:val="0"/>
      <w:marRight w:val="0"/>
      <w:marTop w:val="0"/>
      <w:marBottom w:val="0"/>
      <w:divBdr>
        <w:top w:val="none" w:sz="0" w:space="0" w:color="auto"/>
        <w:left w:val="none" w:sz="0" w:space="0" w:color="auto"/>
        <w:bottom w:val="none" w:sz="0" w:space="0" w:color="auto"/>
        <w:right w:val="none" w:sz="0" w:space="0" w:color="auto"/>
      </w:divBdr>
    </w:div>
    <w:div w:id="87972901">
      <w:bodyDiv w:val="1"/>
      <w:marLeft w:val="0"/>
      <w:marRight w:val="0"/>
      <w:marTop w:val="0"/>
      <w:marBottom w:val="0"/>
      <w:divBdr>
        <w:top w:val="none" w:sz="0" w:space="0" w:color="auto"/>
        <w:left w:val="none" w:sz="0" w:space="0" w:color="auto"/>
        <w:bottom w:val="none" w:sz="0" w:space="0" w:color="auto"/>
        <w:right w:val="none" w:sz="0" w:space="0" w:color="auto"/>
      </w:divBdr>
    </w:div>
    <w:div w:id="99960217">
      <w:bodyDiv w:val="1"/>
      <w:marLeft w:val="0"/>
      <w:marRight w:val="0"/>
      <w:marTop w:val="0"/>
      <w:marBottom w:val="0"/>
      <w:divBdr>
        <w:top w:val="none" w:sz="0" w:space="0" w:color="auto"/>
        <w:left w:val="none" w:sz="0" w:space="0" w:color="auto"/>
        <w:bottom w:val="none" w:sz="0" w:space="0" w:color="auto"/>
        <w:right w:val="none" w:sz="0" w:space="0" w:color="auto"/>
      </w:divBdr>
    </w:div>
    <w:div w:id="101919246">
      <w:bodyDiv w:val="1"/>
      <w:marLeft w:val="0"/>
      <w:marRight w:val="0"/>
      <w:marTop w:val="0"/>
      <w:marBottom w:val="0"/>
      <w:divBdr>
        <w:top w:val="none" w:sz="0" w:space="0" w:color="auto"/>
        <w:left w:val="none" w:sz="0" w:space="0" w:color="auto"/>
        <w:bottom w:val="none" w:sz="0" w:space="0" w:color="auto"/>
        <w:right w:val="none" w:sz="0" w:space="0" w:color="auto"/>
      </w:divBdr>
    </w:div>
    <w:div w:id="141236971">
      <w:bodyDiv w:val="1"/>
      <w:marLeft w:val="0"/>
      <w:marRight w:val="0"/>
      <w:marTop w:val="0"/>
      <w:marBottom w:val="0"/>
      <w:divBdr>
        <w:top w:val="none" w:sz="0" w:space="0" w:color="auto"/>
        <w:left w:val="none" w:sz="0" w:space="0" w:color="auto"/>
        <w:bottom w:val="none" w:sz="0" w:space="0" w:color="auto"/>
        <w:right w:val="none" w:sz="0" w:space="0" w:color="auto"/>
      </w:divBdr>
    </w:div>
    <w:div w:id="147016715">
      <w:bodyDiv w:val="1"/>
      <w:marLeft w:val="0"/>
      <w:marRight w:val="0"/>
      <w:marTop w:val="0"/>
      <w:marBottom w:val="0"/>
      <w:divBdr>
        <w:top w:val="none" w:sz="0" w:space="0" w:color="auto"/>
        <w:left w:val="none" w:sz="0" w:space="0" w:color="auto"/>
        <w:bottom w:val="none" w:sz="0" w:space="0" w:color="auto"/>
        <w:right w:val="none" w:sz="0" w:space="0" w:color="auto"/>
      </w:divBdr>
    </w:div>
    <w:div w:id="155801695">
      <w:bodyDiv w:val="1"/>
      <w:marLeft w:val="0"/>
      <w:marRight w:val="0"/>
      <w:marTop w:val="0"/>
      <w:marBottom w:val="0"/>
      <w:divBdr>
        <w:top w:val="none" w:sz="0" w:space="0" w:color="auto"/>
        <w:left w:val="none" w:sz="0" w:space="0" w:color="auto"/>
        <w:bottom w:val="none" w:sz="0" w:space="0" w:color="auto"/>
        <w:right w:val="none" w:sz="0" w:space="0" w:color="auto"/>
      </w:divBdr>
    </w:div>
    <w:div w:id="159003524">
      <w:bodyDiv w:val="1"/>
      <w:marLeft w:val="0"/>
      <w:marRight w:val="0"/>
      <w:marTop w:val="0"/>
      <w:marBottom w:val="0"/>
      <w:divBdr>
        <w:top w:val="none" w:sz="0" w:space="0" w:color="auto"/>
        <w:left w:val="none" w:sz="0" w:space="0" w:color="auto"/>
        <w:bottom w:val="none" w:sz="0" w:space="0" w:color="auto"/>
        <w:right w:val="none" w:sz="0" w:space="0" w:color="auto"/>
      </w:divBdr>
    </w:div>
    <w:div w:id="177013969">
      <w:bodyDiv w:val="1"/>
      <w:marLeft w:val="0"/>
      <w:marRight w:val="0"/>
      <w:marTop w:val="0"/>
      <w:marBottom w:val="0"/>
      <w:divBdr>
        <w:top w:val="none" w:sz="0" w:space="0" w:color="auto"/>
        <w:left w:val="none" w:sz="0" w:space="0" w:color="auto"/>
        <w:bottom w:val="none" w:sz="0" w:space="0" w:color="auto"/>
        <w:right w:val="none" w:sz="0" w:space="0" w:color="auto"/>
      </w:divBdr>
    </w:div>
    <w:div w:id="232006710">
      <w:bodyDiv w:val="1"/>
      <w:marLeft w:val="0"/>
      <w:marRight w:val="0"/>
      <w:marTop w:val="0"/>
      <w:marBottom w:val="0"/>
      <w:divBdr>
        <w:top w:val="none" w:sz="0" w:space="0" w:color="auto"/>
        <w:left w:val="none" w:sz="0" w:space="0" w:color="auto"/>
        <w:bottom w:val="none" w:sz="0" w:space="0" w:color="auto"/>
        <w:right w:val="none" w:sz="0" w:space="0" w:color="auto"/>
      </w:divBdr>
    </w:div>
    <w:div w:id="293173173">
      <w:bodyDiv w:val="1"/>
      <w:marLeft w:val="0"/>
      <w:marRight w:val="0"/>
      <w:marTop w:val="0"/>
      <w:marBottom w:val="0"/>
      <w:divBdr>
        <w:top w:val="none" w:sz="0" w:space="0" w:color="auto"/>
        <w:left w:val="none" w:sz="0" w:space="0" w:color="auto"/>
        <w:bottom w:val="none" w:sz="0" w:space="0" w:color="auto"/>
        <w:right w:val="none" w:sz="0" w:space="0" w:color="auto"/>
      </w:divBdr>
    </w:div>
    <w:div w:id="345912169">
      <w:bodyDiv w:val="1"/>
      <w:marLeft w:val="0"/>
      <w:marRight w:val="0"/>
      <w:marTop w:val="0"/>
      <w:marBottom w:val="0"/>
      <w:divBdr>
        <w:top w:val="none" w:sz="0" w:space="0" w:color="auto"/>
        <w:left w:val="none" w:sz="0" w:space="0" w:color="auto"/>
        <w:bottom w:val="none" w:sz="0" w:space="0" w:color="auto"/>
        <w:right w:val="none" w:sz="0" w:space="0" w:color="auto"/>
      </w:divBdr>
    </w:div>
    <w:div w:id="359091771">
      <w:bodyDiv w:val="1"/>
      <w:marLeft w:val="0"/>
      <w:marRight w:val="0"/>
      <w:marTop w:val="0"/>
      <w:marBottom w:val="0"/>
      <w:divBdr>
        <w:top w:val="none" w:sz="0" w:space="0" w:color="auto"/>
        <w:left w:val="none" w:sz="0" w:space="0" w:color="auto"/>
        <w:bottom w:val="none" w:sz="0" w:space="0" w:color="auto"/>
        <w:right w:val="none" w:sz="0" w:space="0" w:color="auto"/>
      </w:divBdr>
    </w:div>
    <w:div w:id="359554933">
      <w:bodyDiv w:val="1"/>
      <w:marLeft w:val="0"/>
      <w:marRight w:val="0"/>
      <w:marTop w:val="0"/>
      <w:marBottom w:val="0"/>
      <w:divBdr>
        <w:top w:val="none" w:sz="0" w:space="0" w:color="auto"/>
        <w:left w:val="none" w:sz="0" w:space="0" w:color="auto"/>
        <w:bottom w:val="none" w:sz="0" w:space="0" w:color="auto"/>
        <w:right w:val="none" w:sz="0" w:space="0" w:color="auto"/>
      </w:divBdr>
    </w:div>
    <w:div w:id="509107043">
      <w:bodyDiv w:val="1"/>
      <w:marLeft w:val="0"/>
      <w:marRight w:val="0"/>
      <w:marTop w:val="0"/>
      <w:marBottom w:val="0"/>
      <w:divBdr>
        <w:top w:val="none" w:sz="0" w:space="0" w:color="auto"/>
        <w:left w:val="none" w:sz="0" w:space="0" w:color="auto"/>
        <w:bottom w:val="none" w:sz="0" w:space="0" w:color="auto"/>
        <w:right w:val="none" w:sz="0" w:space="0" w:color="auto"/>
      </w:divBdr>
    </w:div>
    <w:div w:id="524561342">
      <w:bodyDiv w:val="1"/>
      <w:marLeft w:val="0"/>
      <w:marRight w:val="0"/>
      <w:marTop w:val="0"/>
      <w:marBottom w:val="0"/>
      <w:divBdr>
        <w:top w:val="none" w:sz="0" w:space="0" w:color="auto"/>
        <w:left w:val="none" w:sz="0" w:space="0" w:color="auto"/>
        <w:bottom w:val="none" w:sz="0" w:space="0" w:color="auto"/>
        <w:right w:val="none" w:sz="0" w:space="0" w:color="auto"/>
      </w:divBdr>
    </w:div>
    <w:div w:id="531193648">
      <w:bodyDiv w:val="1"/>
      <w:marLeft w:val="0"/>
      <w:marRight w:val="0"/>
      <w:marTop w:val="0"/>
      <w:marBottom w:val="0"/>
      <w:divBdr>
        <w:top w:val="none" w:sz="0" w:space="0" w:color="auto"/>
        <w:left w:val="none" w:sz="0" w:space="0" w:color="auto"/>
        <w:bottom w:val="none" w:sz="0" w:space="0" w:color="auto"/>
        <w:right w:val="none" w:sz="0" w:space="0" w:color="auto"/>
      </w:divBdr>
    </w:div>
    <w:div w:id="535234664">
      <w:bodyDiv w:val="1"/>
      <w:marLeft w:val="0"/>
      <w:marRight w:val="0"/>
      <w:marTop w:val="0"/>
      <w:marBottom w:val="0"/>
      <w:divBdr>
        <w:top w:val="none" w:sz="0" w:space="0" w:color="auto"/>
        <w:left w:val="none" w:sz="0" w:space="0" w:color="auto"/>
        <w:bottom w:val="none" w:sz="0" w:space="0" w:color="auto"/>
        <w:right w:val="none" w:sz="0" w:space="0" w:color="auto"/>
      </w:divBdr>
    </w:div>
    <w:div w:id="555773852">
      <w:bodyDiv w:val="1"/>
      <w:marLeft w:val="0"/>
      <w:marRight w:val="0"/>
      <w:marTop w:val="0"/>
      <w:marBottom w:val="0"/>
      <w:divBdr>
        <w:top w:val="none" w:sz="0" w:space="0" w:color="auto"/>
        <w:left w:val="none" w:sz="0" w:space="0" w:color="auto"/>
        <w:bottom w:val="none" w:sz="0" w:space="0" w:color="auto"/>
        <w:right w:val="none" w:sz="0" w:space="0" w:color="auto"/>
      </w:divBdr>
    </w:div>
    <w:div w:id="598874922">
      <w:bodyDiv w:val="1"/>
      <w:marLeft w:val="0"/>
      <w:marRight w:val="0"/>
      <w:marTop w:val="0"/>
      <w:marBottom w:val="0"/>
      <w:divBdr>
        <w:top w:val="none" w:sz="0" w:space="0" w:color="auto"/>
        <w:left w:val="none" w:sz="0" w:space="0" w:color="auto"/>
        <w:bottom w:val="none" w:sz="0" w:space="0" w:color="auto"/>
        <w:right w:val="none" w:sz="0" w:space="0" w:color="auto"/>
      </w:divBdr>
    </w:div>
    <w:div w:id="619648720">
      <w:bodyDiv w:val="1"/>
      <w:marLeft w:val="0"/>
      <w:marRight w:val="0"/>
      <w:marTop w:val="0"/>
      <w:marBottom w:val="0"/>
      <w:divBdr>
        <w:top w:val="none" w:sz="0" w:space="0" w:color="auto"/>
        <w:left w:val="none" w:sz="0" w:space="0" w:color="auto"/>
        <w:bottom w:val="none" w:sz="0" w:space="0" w:color="auto"/>
        <w:right w:val="none" w:sz="0" w:space="0" w:color="auto"/>
      </w:divBdr>
    </w:div>
    <w:div w:id="641884422">
      <w:bodyDiv w:val="1"/>
      <w:marLeft w:val="0"/>
      <w:marRight w:val="0"/>
      <w:marTop w:val="0"/>
      <w:marBottom w:val="0"/>
      <w:divBdr>
        <w:top w:val="none" w:sz="0" w:space="0" w:color="auto"/>
        <w:left w:val="none" w:sz="0" w:space="0" w:color="auto"/>
        <w:bottom w:val="none" w:sz="0" w:space="0" w:color="auto"/>
        <w:right w:val="none" w:sz="0" w:space="0" w:color="auto"/>
      </w:divBdr>
    </w:div>
    <w:div w:id="653265263">
      <w:bodyDiv w:val="1"/>
      <w:marLeft w:val="0"/>
      <w:marRight w:val="0"/>
      <w:marTop w:val="0"/>
      <w:marBottom w:val="0"/>
      <w:divBdr>
        <w:top w:val="none" w:sz="0" w:space="0" w:color="auto"/>
        <w:left w:val="none" w:sz="0" w:space="0" w:color="auto"/>
        <w:bottom w:val="none" w:sz="0" w:space="0" w:color="auto"/>
        <w:right w:val="none" w:sz="0" w:space="0" w:color="auto"/>
      </w:divBdr>
    </w:div>
    <w:div w:id="662666460">
      <w:bodyDiv w:val="1"/>
      <w:marLeft w:val="0"/>
      <w:marRight w:val="0"/>
      <w:marTop w:val="0"/>
      <w:marBottom w:val="0"/>
      <w:divBdr>
        <w:top w:val="none" w:sz="0" w:space="0" w:color="auto"/>
        <w:left w:val="none" w:sz="0" w:space="0" w:color="auto"/>
        <w:bottom w:val="none" w:sz="0" w:space="0" w:color="auto"/>
        <w:right w:val="none" w:sz="0" w:space="0" w:color="auto"/>
      </w:divBdr>
    </w:div>
    <w:div w:id="677850628">
      <w:bodyDiv w:val="1"/>
      <w:marLeft w:val="0"/>
      <w:marRight w:val="0"/>
      <w:marTop w:val="0"/>
      <w:marBottom w:val="0"/>
      <w:divBdr>
        <w:top w:val="none" w:sz="0" w:space="0" w:color="auto"/>
        <w:left w:val="none" w:sz="0" w:space="0" w:color="auto"/>
        <w:bottom w:val="none" w:sz="0" w:space="0" w:color="auto"/>
        <w:right w:val="none" w:sz="0" w:space="0" w:color="auto"/>
      </w:divBdr>
    </w:div>
    <w:div w:id="697121495">
      <w:bodyDiv w:val="1"/>
      <w:marLeft w:val="0"/>
      <w:marRight w:val="0"/>
      <w:marTop w:val="0"/>
      <w:marBottom w:val="0"/>
      <w:divBdr>
        <w:top w:val="none" w:sz="0" w:space="0" w:color="auto"/>
        <w:left w:val="none" w:sz="0" w:space="0" w:color="auto"/>
        <w:bottom w:val="none" w:sz="0" w:space="0" w:color="auto"/>
        <w:right w:val="none" w:sz="0" w:space="0" w:color="auto"/>
      </w:divBdr>
    </w:div>
    <w:div w:id="735515800">
      <w:bodyDiv w:val="1"/>
      <w:marLeft w:val="0"/>
      <w:marRight w:val="0"/>
      <w:marTop w:val="0"/>
      <w:marBottom w:val="0"/>
      <w:divBdr>
        <w:top w:val="none" w:sz="0" w:space="0" w:color="auto"/>
        <w:left w:val="none" w:sz="0" w:space="0" w:color="auto"/>
        <w:bottom w:val="none" w:sz="0" w:space="0" w:color="auto"/>
        <w:right w:val="none" w:sz="0" w:space="0" w:color="auto"/>
      </w:divBdr>
    </w:div>
    <w:div w:id="808981636">
      <w:bodyDiv w:val="1"/>
      <w:marLeft w:val="0"/>
      <w:marRight w:val="0"/>
      <w:marTop w:val="0"/>
      <w:marBottom w:val="0"/>
      <w:divBdr>
        <w:top w:val="none" w:sz="0" w:space="0" w:color="auto"/>
        <w:left w:val="none" w:sz="0" w:space="0" w:color="auto"/>
        <w:bottom w:val="none" w:sz="0" w:space="0" w:color="auto"/>
        <w:right w:val="none" w:sz="0" w:space="0" w:color="auto"/>
      </w:divBdr>
    </w:div>
    <w:div w:id="826751466">
      <w:bodyDiv w:val="1"/>
      <w:marLeft w:val="0"/>
      <w:marRight w:val="0"/>
      <w:marTop w:val="0"/>
      <w:marBottom w:val="0"/>
      <w:divBdr>
        <w:top w:val="none" w:sz="0" w:space="0" w:color="auto"/>
        <w:left w:val="none" w:sz="0" w:space="0" w:color="auto"/>
        <w:bottom w:val="none" w:sz="0" w:space="0" w:color="auto"/>
        <w:right w:val="none" w:sz="0" w:space="0" w:color="auto"/>
      </w:divBdr>
    </w:div>
    <w:div w:id="845173907">
      <w:bodyDiv w:val="1"/>
      <w:marLeft w:val="0"/>
      <w:marRight w:val="0"/>
      <w:marTop w:val="0"/>
      <w:marBottom w:val="0"/>
      <w:divBdr>
        <w:top w:val="none" w:sz="0" w:space="0" w:color="auto"/>
        <w:left w:val="none" w:sz="0" w:space="0" w:color="auto"/>
        <w:bottom w:val="none" w:sz="0" w:space="0" w:color="auto"/>
        <w:right w:val="none" w:sz="0" w:space="0" w:color="auto"/>
      </w:divBdr>
    </w:div>
    <w:div w:id="859126267">
      <w:bodyDiv w:val="1"/>
      <w:marLeft w:val="0"/>
      <w:marRight w:val="0"/>
      <w:marTop w:val="0"/>
      <w:marBottom w:val="0"/>
      <w:divBdr>
        <w:top w:val="none" w:sz="0" w:space="0" w:color="auto"/>
        <w:left w:val="none" w:sz="0" w:space="0" w:color="auto"/>
        <w:bottom w:val="none" w:sz="0" w:space="0" w:color="auto"/>
        <w:right w:val="none" w:sz="0" w:space="0" w:color="auto"/>
      </w:divBdr>
    </w:div>
    <w:div w:id="883448202">
      <w:bodyDiv w:val="1"/>
      <w:marLeft w:val="0"/>
      <w:marRight w:val="0"/>
      <w:marTop w:val="0"/>
      <w:marBottom w:val="0"/>
      <w:divBdr>
        <w:top w:val="none" w:sz="0" w:space="0" w:color="auto"/>
        <w:left w:val="none" w:sz="0" w:space="0" w:color="auto"/>
        <w:bottom w:val="none" w:sz="0" w:space="0" w:color="auto"/>
        <w:right w:val="none" w:sz="0" w:space="0" w:color="auto"/>
      </w:divBdr>
    </w:div>
    <w:div w:id="962618277">
      <w:bodyDiv w:val="1"/>
      <w:marLeft w:val="0"/>
      <w:marRight w:val="0"/>
      <w:marTop w:val="0"/>
      <w:marBottom w:val="0"/>
      <w:divBdr>
        <w:top w:val="none" w:sz="0" w:space="0" w:color="auto"/>
        <w:left w:val="none" w:sz="0" w:space="0" w:color="auto"/>
        <w:bottom w:val="none" w:sz="0" w:space="0" w:color="auto"/>
        <w:right w:val="none" w:sz="0" w:space="0" w:color="auto"/>
      </w:divBdr>
    </w:div>
    <w:div w:id="967858613">
      <w:bodyDiv w:val="1"/>
      <w:marLeft w:val="0"/>
      <w:marRight w:val="0"/>
      <w:marTop w:val="0"/>
      <w:marBottom w:val="0"/>
      <w:divBdr>
        <w:top w:val="none" w:sz="0" w:space="0" w:color="auto"/>
        <w:left w:val="none" w:sz="0" w:space="0" w:color="auto"/>
        <w:bottom w:val="none" w:sz="0" w:space="0" w:color="auto"/>
        <w:right w:val="none" w:sz="0" w:space="0" w:color="auto"/>
      </w:divBdr>
    </w:div>
    <w:div w:id="994336226">
      <w:bodyDiv w:val="1"/>
      <w:marLeft w:val="0"/>
      <w:marRight w:val="0"/>
      <w:marTop w:val="0"/>
      <w:marBottom w:val="0"/>
      <w:divBdr>
        <w:top w:val="none" w:sz="0" w:space="0" w:color="auto"/>
        <w:left w:val="none" w:sz="0" w:space="0" w:color="auto"/>
        <w:bottom w:val="none" w:sz="0" w:space="0" w:color="auto"/>
        <w:right w:val="none" w:sz="0" w:space="0" w:color="auto"/>
      </w:divBdr>
    </w:div>
    <w:div w:id="1022051429">
      <w:bodyDiv w:val="1"/>
      <w:marLeft w:val="0"/>
      <w:marRight w:val="0"/>
      <w:marTop w:val="0"/>
      <w:marBottom w:val="0"/>
      <w:divBdr>
        <w:top w:val="none" w:sz="0" w:space="0" w:color="auto"/>
        <w:left w:val="none" w:sz="0" w:space="0" w:color="auto"/>
        <w:bottom w:val="none" w:sz="0" w:space="0" w:color="auto"/>
        <w:right w:val="none" w:sz="0" w:space="0" w:color="auto"/>
      </w:divBdr>
    </w:div>
    <w:div w:id="1063792838">
      <w:bodyDiv w:val="1"/>
      <w:marLeft w:val="0"/>
      <w:marRight w:val="0"/>
      <w:marTop w:val="0"/>
      <w:marBottom w:val="0"/>
      <w:divBdr>
        <w:top w:val="none" w:sz="0" w:space="0" w:color="auto"/>
        <w:left w:val="none" w:sz="0" w:space="0" w:color="auto"/>
        <w:bottom w:val="none" w:sz="0" w:space="0" w:color="auto"/>
        <w:right w:val="none" w:sz="0" w:space="0" w:color="auto"/>
      </w:divBdr>
    </w:div>
    <w:div w:id="1095446110">
      <w:bodyDiv w:val="1"/>
      <w:marLeft w:val="0"/>
      <w:marRight w:val="0"/>
      <w:marTop w:val="0"/>
      <w:marBottom w:val="0"/>
      <w:divBdr>
        <w:top w:val="none" w:sz="0" w:space="0" w:color="auto"/>
        <w:left w:val="none" w:sz="0" w:space="0" w:color="auto"/>
        <w:bottom w:val="none" w:sz="0" w:space="0" w:color="auto"/>
        <w:right w:val="none" w:sz="0" w:space="0" w:color="auto"/>
      </w:divBdr>
    </w:div>
    <w:div w:id="1155991985">
      <w:bodyDiv w:val="1"/>
      <w:marLeft w:val="0"/>
      <w:marRight w:val="0"/>
      <w:marTop w:val="0"/>
      <w:marBottom w:val="0"/>
      <w:divBdr>
        <w:top w:val="none" w:sz="0" w:space="0" w:color="auto"/>
        <w:left w:val="none" w:sz="0" w:space="0" w:color="auto"/>
        <w:bottom w:val="none" w:sz="0" w:space="0" w:color="auto"/>
        <w:right w:val="none" w:sz="0" w:space="0" w:color="auto"/>
      </w:divBdr>
    </w:div>
    <w:div w:id="1181432621">
      <w:bodyDiv w:val="1"/>
      <w:marLeft w:val="0"/>
      <w:marRight w:val="0"/>
      <w:marTop w:val="0"/>
      <w:marBottom w:val="0"/>
      <w:divBdr>
        <w:top w:val="none" w:sz="0" w:space="0" w:color="auto"/>
        <w:left w:val="none" w:sz="0" w:space="0" w:color="auto"/>
        <w:bottom w:val="none" w:sz="0" w:space="0" w:color="auto"/>
        <w:right w:val="none" w:sz="0" w:space="0" w:color="auto"/>
      </w:divBdr>
    </w:div>
    <w:div w:id="1242645641">
      <w:bodyDiv w:val="1"/>
      <w:marLeft w:val="0"/>
      <w:marRight w:val="0"/>
      <w:marTop w:val="0"/>
      <w:marBottom w:val="0"/>
      <w:divBdr>
        <w:top w:val="none" w:sz="0" w:space="0" w:color="auto"/>
        <w:left w:val="none" w:sz="0" w:space="0" w:color="auto"/>
        <w:bottom w:val="none" w:sz="0" w:space="0" w:color="auto"/>
        <w:right w:val="none" w:sz="0" w:space="0" w:color="auto"/>
      </w:divBdr>
    </w:div>
    <w:div w:id="1312950052">
      <w:bodyDiv w:val="1"/>
      <w:marLeft w:val="0"/>
      <w:marRight w:val="0"/>
      <w:marTop w:val="0"/>
      <w:marBottom w:val="0"/>
      <w:divBdr>
        <w:top w:val="none" w:sz="0" w:space="0" w:color="auto"/>
        <w:left w:val="none" w:sz="0" w:space="0" w:color="auto"/>
        <w:bottom w:val="none" w:sz="0" w:space="0" w:color="auto"/>
        <w:right w:val="none" w:sz="0" w:space="0" w:color="auto"/>
      </w:divBdr>
    </w:div>
    <w:div w:id="1323388505">
      <w:bodyDiv w:val="1"/>
      <w:marLeft w:val="0"/>
      <w:marRight w:val="0"/>
      <w:marTop w:val="0"/>
      <w:marBottom w:val="0"/>
      <w:divBdr>
        <w:top w:val="none" w:sz="0" w:space="0" w:color="auto"/>
        <w:left w:val="none" w:sz="0" w:space="0" w:color="auto"/>
        <w:bottom w:val="none" w:sz="0" w:space="0" w:color="auto"/>
        <w:right w:val="none" w:sz="0" w:space="0" w:color="auto"/>
      </w:divBdr>
    </w:div>
    <w:div w:id="1323461460">
      <w:bodyDiv w:val="1"/>
      <w:marLeft w:val="0"/>
      <w:marRight w:val="0"/>
      <w:marTop w:val="0"/>
      <w:marBottom w:val="0"/>
      <w:divBdr>
        <w:top w:val="none" w:sz="0" w:space="0" w:color="auto"/>
        <w:left w:val="none" w:sz="0" w:space="0" w:color="auto"/>
        <w:bottom w:val="none" w:sz="0" w:space="0" w:color="auto"/>
        <w:right w:val="none" w:sz="0" w:space="0" w:color="auto"/>
      </w:divBdr>
    </w:div>
    <w:div w:id="1338268121">
      <w:bodyDiv w:val="1"/>
      <w:marLeft w:val="0"/>
      <w:marRight w:val="0"/>
      <w:marTop w:val="0"/>
      <w:marBottom w:val="0"/>
      <w:divBdr>
        <w:top w:val="none" w:sz="0" w:space="0" w:color="auto"/>
        <w:left w:val="none" w:sz="0" w:space="0" w:color="auto"/>
        <w:bottom w:val="none" w:sz="0" w:space="0" w:color="auto"/>
        <w:right w:val="none" w:sz="0" w:space="0" w:color="auto"/>
      </w:divBdr>
    </w:div>
    <w:div w:id="1361122246">
      <w:bodyDiv w:val="1"/>
      <w:marLeft w:val="0"/>
      <w:marRight w:val="0"/>
      <w:marTop w:val="0"/>
      <w:marBottom w:val="0"/>
      <w:divBdr>
        <w:top w:val="none" w:sz="0" w:space="0" w:color="auto"/>
        <w:left w:val="none" w:sz="0" w:space="0" w:color="auto"/>
        <w:bottom w:val="none" w:sz="0" w:space="0" w:color="auto"/>
        <w:right w:val="none" w:sz="0" w:space="0" w:color="auto"/>
      </w:divBdr>
    </w:div>
    <w:div w:id="1375885087">
      <w:bodyDiv w:val="1"/>
      <w:marLeft w:val="0"/>
      <w:marRight w:val="0"/>
      <w:marTop w:val="0"/>
      <w:marBottom w:val="0"/>
      <w:divBdr>
        <w:top w:val="none" w:sz="0" w:space="0" w:color="auto"/>
        <w:left w:val="none" w:sz="0" w:space="0" w:color="auto"/>
        <w:bottom w:val="none" w:sz="0" w:space="0" w:color="auto"/>
        <w:right w:val="none" w:sz="0" w:space="0" w:color="auto"/>
      </w:divBdr>
    </w:div>
    <w:div w:id="1376659899">
      <w:bodyDiv w:val="1"/>
      <w:marLeft w:val="0"/>
      <w:marRight w:val="0"/>
      <w:marTop w:val="0"/>
      <w:marBottom w:val="0"/>
      <w:divBdr>
        <w:top w:val="none" w:sz="0" w:space="0" w:color="auto"/>
        <w:left w:val="none" w:sz="0" w:space="0" w:color="auto"/>
        <w:bottom w:val="none" w:sz="0" w:space="0" w:color="auto"/>
        <w:right w:val="none" w:sz="0" w:space="0" w:color="auto"/>
      </w:divBdr>
    </w:div>
    <w:div w:id="1394427120">
      <w:bodyDiv w:val="1"/>
      <w:marLeft w:val="0"/>
      <w:marRight w:val="0"/>
      <w:marTop w:val="0"/>
      <w:marBottom w:val="0"/>
      <w:divBdr>
        <w:top w:val="none" w:sz="0" w:space="0" w:color="auto"/>
        <w:left w:val="none" w:sz="0" w:space="0" w:color="auto"/>
        <w:bottom w:val="none" w:sz="0" w:space="0" w:color="auto"/>
        <w:right w:val="none" w:sz="0" w:space="0" w:color="auto"/>
      </w:divBdr>
    </w:div>
    <w:div w:id="1395660281">
      <w:bodyDiv w:val="1"/>
      <w:marLeft w:val="0"/>
      <w:marRight w:val="0"/>
      <w:marTop w:val="0"/>
      <w:marBottom w:val="0"/>
      <w:divBdr>
        <w:top w:val="none" w:sz="0" w:space="0" w:color="auto"/>
        <w:left w:val="none" w:sz="0" w:space="0" w:color="auto"/>
        <w:bottom w:val="none" w:sz="0" w:space="0" w:color="auto"/>
        <w:right w:val="none" w:sz="0" w:space="0" w:color="auto"/>
      </w:divBdr>
      <w:divsChild>
        <w:div w:id="443841503">
          <w:marLeft w:val="1008"/>
          <w:marRight w:val="0"/>
          <w:marTop w:val="106"/>
          <w:marBottom w:val="0"/>
          <w:divBdr>
            <w:top w:val="none" w:sz="0" w:space="0" w:color="auto"/>
            <w:left w:val="none" w:sz="0" w:space="0" w:color="auto"/>
            <w:bottom w:val="none" w:sz="0" w:space="0" w:color="auto"/>
            <w:right w:val="none" w:sz="0" w:space="0" w:color="auto"/>
          </w:divBdr>
        </w:div>
        <w:div w:id="1709841939">
          <w:marLeft w:val="1008"/>
          <w:marRight w:val="0"/>
          <w:marTop w:val="106"/>
          <w:marBottom w:val="0"/>
          <w:divBdr>
            <w:top w:val="none" w:sz="0" w:space="0" w:color="auto"/>
            <w:left w:val="none" w:sz="0" w:space="0" w:color="auto"/>
            <w:bottom w:val="none" w:sz="0" w:space="0" w:color="auto"/>
            <w:right w:val="none" w:sz="0" w:space="0" w:color="auto"/>
          </w:divBdr>
        </w:div>
        <w:div w:id="1212957400">
          <w:marLeft w:val="1008"/>
          <w:marRight w:val="0"/>
          <w:marTop w:val="106"/>
          <w:marBottom w:val="0"/>
          <w:divBdr>
            <w:top w:val="none" w:sz="0" w:space="0" w:color="auto"/>
            <w:left w:val="none" w:sz="0" w:space="0" w:color="auto"/>
            <w:bottom w:val="none" w:sz="0" w:space="0" w:color="auto"/>
            <w:right w:val="none" w:sz="0" w:space="0" w:color="auto"/>
          </w:divBdr>
        </w:div>
        <w:div w:id="1999771397">
          <w:marLeft w:val="1440"/>
          <w:marRight w:val="0"/>
          <w:marTop w:val="91"/>
          <w:marBottom w:val="0"/>
          <w:divBdr>
            <w:top w:val="none" w:sz="0" w:space="0" w:color="auto"/>
            <w:left w:val="none" w:sz="0" w:space="0" w:color="auto"/>
            <w:bottom w:val="none" w:sz="0" w:space="0" w:color="auto"/>
            <w:right w:val="none" w:sz="0" w:space="0" w:color="auto"/>
          </w:divBdr>
        </w:div>
        <w:div w:id="1633097631">
          <w:marLeft w:val="1440"/>
          <w:marRight w:val="0"/>
          <w:marTop w:val="91"/>
          <w:marBottom w:val="0"/>
          <w:divBdr>
            <w:top w:val="none" w:sz="0" w:space="0" w:color="auto"/>
            <w:left w:val="none" w:sz="0" w:space="0" w:color="auto"/>
            <w:bottom w:val="none" w:sz="0" w:space="0" w:color="auto"/>
            <w:right w:val="none" w:sz="0" w:space="0" w:color="auto"/>
          </w:divBdr>
        </w:div>
        <w:div w:id="1269581307">
          <w:marLeft w:val="1440"/>
          <w:marRight w:val="0"/>
          <w:marTop w:val="91"/>
          <w:marBottom w:val="0"/>
          <w:divBdr>
            <w:top w:val="none" w:sz="0" w:space="0" w:color="auto"/>
            <w:left w:val="none" w:sz="0" w:space="0" w:color="auto"/>
            <w:bottom w:val="none" w:sz="0" w:space="0" w:color="auto"/>
            <w:right w:val="none" w:sz="0" w:space="0" w:color="auto"/>
          </w:divBdr>
        </w:div>
      </w:divsChild>
    </w:div>
    <w:div w:id="1409307620">
      <w:bodyDiv w:val="1"/>
      <w:marLeft w:val="0"/>
      <w:marRight w:val="0"/>
      <w:marTop w:val="0"/>
      <w:marBottom w:val="0"/>
      <w:divBdr>
        <w:top w:val="none" w:sz="0" w:space="0" w:color="auto"/>
        <w:left w:val="none" w:sz="0" w:space="0" w:color="auto"/>
        <w:bottom w:val="none" w:sz="0" w:space="0" w:color="auto"/>
        <w:right w:val="none" w:sz="0" w:space="0" w:color="auto"/>
      </w:divBdr>
    </w:div>
    <w:div w:id="1411544066">
      <w:bodyDiv w:val="1"/>
      <w:marLeft w:val="0"/>
      <w:marRight w:val="0"/>
      <w:marTop w:val="0"/>
      <w:marBottom w:val="0"/>
      <w:divBdr>
        <w:top w:val="none" w:sz="0" w:space="0" w:color="auto"/>
        <w:left w:val="none" w:sz="0" w:space="0" w:color="auto"/>
        <w:bottom w:val="none" w:sz="0" w:space="0" w:color="auto"/>
        <w:right w:val="none" w:sz="0" w:space="0" w:color="auto"/>
      </w:divBdr>
    </w:div>
    <w:div w:id="1423146185">
      <w:bodyDiv w:val="1"/>
      <w:marLeft w:val="0"/>
      <w:marRight w:val="0"/>
      <w:marTop w:val="0"/>
      <w:marBottom w:val="0"/>
      <w:divBdr>
        <w:top w:val="none" w:sz="0" w:space="0" w:color="auto"/>
        <w:left w:val="none" w:sz="0" w:space="0" w:color="auto"/>
        <w:bottom w:val="none" w:sz="0" w:space="0" w:color="auto"/>
        <w:right w:val="none" w:sz="0" w:space="0" w:color="auto"/>
      </w:divBdr>
    </w:div>
    <w:div w:id="1425229883">
      <w:bodyDiv w:val="1"/>
      <w:marLeft w:val="0"/>
      <w:marRight w:val="0"/>
      <w:marTop w:val="0"/>
      <w:marBottom w:val="0"/>
      <w:divBdr>
        <w:top w:val="none" w:sz="0" w:space="0" w:color="auto"/>
        <w:left w:val="none" w:sz="0" w:space="0" w:color="auto"/>
        <w:bottom w:val="none" w:sz="0" w:space="0" w:color="auto"/>
        <w:right w:val="none" w:sz="0" w:space="0" w:color="auto"/>
      </w:divBdr>
    </w:div>
    <w:div w:id="1465851738">
      <w:bodyDiv w:val="1"/>
      <w:marLeft w:val="0"/>
      <w:marRight w:val="0"/>
      <w:marTop w:val="0"/>
      <w:marBottom w:val="0"/>
      <w:divBdr>
        <w:top w:val="none" w:sz="0" w:space="0" w:color="auto"/>
        <w:left w:val="none" w:sz="0" w:space="0" w:color="auto"/>
        <w:bottom w:val="none" w:sz="0" w:space="0" w:color="auto"/>
        <w:right w:val="none" w:sz="0" w:space="0" w:color="auto"/>
      </w:divBdr>
    </w:div>
    <w:div w:id="1488589106">
      <w:bodyDiv w:val="1"/>
      <w:marLeft w:val="0"/>
      <w:marRight w:val="0"/>
      <w:marTop w:val="0"/>
      <w:marBottom w:val="0"/>
      <w:divBdr>
        <w:top w:val="none" w:sz="0" w:space="0" w:color="auto"/>
        <w:left w:val="none" w:sz="0" w:space="0" w:color="auto"/>
        <w:bottom w:val="none" w:sz="0" w:space="0" w:color="auto"/>
        <w:right w:val="none" w:sz="0" w:space="0" w:color="auto"/>
      </w:divBdr>
    </w:div>
    <w:div w:id="1546409040">
      <w:bodyDiv w:val="1"/>
      <w:marLeft w:val="0"/>
      <w:marRight w:val="0"/>
      <w:marTop w:val="0"/>
      <w:marBottom w:val="0"/>
      <w:divBdr>
        <w:top w:val="none" w:sz="0" w:space="0" w:color="auto"/>
        <w:left w:val="none" w:sz="0" w:space="0" w:color="auto"/>
        <w:bottom w:val="none" w:sz="0" w:space="0" w:color="auto"/>
        <w:right w:val="none" w:sz="0" w:space="0" w:color="auto"/>
      </w:divBdr>
    </w:div>
    <w:div w:id="1551922883">
      <w:bodyDiv w:val="1"/>
      <w:marLeft w:val="0"/>
      <w:marRight w:val="0"/>
      <w:marTop w:val="0"/>
      <w:marBottom w:val="0"/>
      <w:divBdr>
        <w:top w:val="none" w:sz="0" w:space="0" w:color="auto"/>
        <w:left w:val="none" w:sz="0" w:space="0" w:color="auto"/>
        <w:bottom w:val="none" w:sz="0" w:space="0" w:color="auto"/>
        <w:right w:val="none" w:sz="0" w:space="0" w:color="auto"/>
      </w:divBdr>
    </w:div>
    <w:div w:id="1568614810">
      <w:bodyDiv w:val="1"/>
      <w:marLeft w:val="0"/>
      <w:marRight w:val="0"/>
      <w:marTop w:val="0"/>
      <w:marBottom w:val="0"/>
      <w:divBdr>
        <w:top w:val="none" w:sz="0" w:space="0" w:color="auto"/>
        <w:left w:val="none" w:sz="0" w:space="0" w:color="auto"/>
        <w:bottom w:val="none" w:sz="0" w:space="0" w:color="auto"/>
        <w:right w:val="none" w:sz="0" w:space="0" w:color="auto"/>
      </w:divBdr>
    </w:div>
    <w:div w:id="1596788174">
      <w:bodyDiv w:val="1"/>
      <w:marLeft w:val="0"/>
      <w:marRight w:val="0"/>
      <w:marTop w:val="0"/>
      <w:marBottom w:val="0"/>
      <w:divBdr>
        <w:top w:val="none" w:sz="0" w:space="0" w:color="auto"/>
        <w:left w:val="none" w:sz="0" w:space="0" w:color="auto"/>
        <w:bottom w:val="none" w:sz="0" w:space="0" w:color="auto"/>
        <w:right w:val="none" w:sz="0" w:space="0" w:color="auto"/>
      </w:divBdr>
    </w:div>
    <w:div w:id="1635214574">
      <w:bodyDiv w:val="1"/>
      <w:marLeft w:val="0"/>
      <w:marRight w:val="0"/>
      <w:marTop w:val="0"/>
      <w:marBottom w:val="0"/>
      <w:divBdr>
        <w:top w:val="none" w:sz="0" w:space="0" w:color="auto"/>
        <w:left w:val="none" w:sz="0" w:space="0" w:color="auto"/>
        <w:bottom w:val="none" w:sz="0" w:space="0" w:color="auto"/>
        <w:right w:val="none" w:sz="0" w:space="0" w:color="auto"/>
      </w:divBdr>
    </w:div>
    <w:div w:id="1644190356">
      <w:bodyDiv w:val="1"/>
      <w:marLeft w:val="0"/>
      <w:marRight w:val="0"/>
      <w:marTop w:val="0"/>
      <w:marBottom w:val="0"/>
      <w:divBdr>
        <w:top w:val="none" w:sz="0" w:space="0" w:color="auto"/>
        <w:left w:val="none" w:sz="0" w:space="0" w:color="auto"/>
        <w:bottom w:val="none" w:sz="0" w:space="0" w:color="auto"/>
        <w:right w:val="none" w:sz="0" w:space="0" w:color="auto"/>
      </w:divBdr>
      <w:divsChild>
        <w:div w:id="535585451">
          <w:marLeft w:val="432"/>
          <w:marRight w:val="0"/>
          <w:marTop w:val="125"/>
          <w:marBottom w:val="0"/>
          <w:divBdr>
            <w:top w:val="none" w:sz="0" w:space="0" w:color="auto"/>
            <w:left w:val="none" w:sz="0" w:space="0" w:color="auto"/>
            <w:bottom w:val="none" w:sz="0" w:space="0" w:color="auto"/>
            <w:right w:val="none" w:sz="0" w:space="0" w:color="auto"/>
          </w:divBdr>
        </w:div>
      </w:divsChild>
    </w:div>
    <w:div w:id="1716270642">
      <w:bodyDiv w:val="1"/>
      <w:marLeft w:val="0"/>
      <w:marRight w:val="0"/>
      <w:marTop w:val="0"/>
      <w:marBottom w:val="0"/>
      <w:divBdr>
        <w:top w:val="none" w:sz="0" w:space="0" w:color="auto"/>
        <w:left w:val="none" w:sz="0" w:space="0" w:color="auto"/>
        <w:bottom w:val="none" w:sz="0" w:space="0" w:color="auto"/>
        <w:right w:val="none" w:sz="0" w:space="0" w:color="auto"/>
      </w:divBdr>
    </w:div>
    <w:div w:id="1739130203">
      <w:bodyDiv w:val="1"/>
      <w:marLeft w:val="0"/>
      <w:marRight w:val="0"/>
      <w:marTop w:val="0"/>
      <w:marBottom w:val="0"/>
      <w:divBdr>
        <w:top w:val="none" w:sz="0" w:space="0" w:color="auto"/>
        <w:left w:val="none" w:sz="0" w:space="0" w:color="auto"/>
        <w:bottom w:val="none" w:sz="0" w:space="0" w:color="auto"/>
        <w:right w:val="none" w:sz="0" w:space="0" w:color="auto"/>
      </w:divBdr>
    </w:div>
    <w:div w:id="1787657645">
      <w:bodyDiv w:val="1"/>
      <w:marLeft w:val="0"/>
      <w:marRight w:val="0"/>
      <w:marTop w:val="0"/>
      <w:marBottom w:val="0"/>
      <w:divBdr>
        <w:top w:val="none" w:sz="0" w:space="0" w:color="auto"/>
        <w:left w:val="none" w:sz="0" w:space="0" w:color="auto"/>
        <w:bottom w:val="none" w:sz="0" w:space="0" w:color="auto"/>
        <w:right w:val="none" w:sz="0" w:space="0" w:color="auto"/>
      </w:divBdr>
    </w:div>
    <w:div w:id="1800956131">
      <w:bodyDiv w:val="1"/>
      <w:marLeft w:val="0"/>
      <w:marRight w:val="0"/>
      <w:marTop w:val="0"/>
      <w:marBottom w:val="0"/>
      <w:divBdr>
        <w:top w:val="none" w:sz="0" w:space="0" w:color="auto"/>
        <w:left w:val="none" w:sz="0" w:space="0" w:color="auto"/>
        <w:bottom w:val="none" w:sz="0" w:space="0" w:color="auto"/>
        <w:right w:val="none" w:sz="0" w:space="0" w:color="auto"/>
      </w:divBdr>
    </w:div>
    <w:div w:id="1802767429">
      <w:bodyDiv w:val="1"/>
      <w:marLeft w:val="0"/>
      <w:marRight w:val="0"/>
      <w:marTop w:val="0"/>
      <w:marBottom w:val="0"/>
      <w:divBdr>
        <w:top w:val="none" w:sz="0" w:space="0" w:color="auto"/>
        <w:left w:val="none" w:sz="0" w:space="0" w:color="auto"/>
        <w:bottom w:val="none" w:sz="0" w:space="0" w:color="auto"/>
        <w:right w:val="none" w:sz="0" w:space="0" w:color="auto"/>
      </w:divBdr>
    </w:div>
    <w:div w:id="1821463034">
      <w:bodyDiv w:val="1"/>
      <w:marLeft w:val="0"/>
      <w:marRight w:val="0"/>
      <w:marTop w:val="0"/>
      <w:marBottom w:val="0"/>
      <w:divBdr>
        <w:top w:val="none" w:sz="0" w:space="0" w:color="auto"/>
        <w:left w:val="none" w:sz="0" w:space="0" w:color="auto"/>
        <w:bottom w:val="none" w:sz="0" w:space="0" w:color="auto"/>
        <w:right w:val="none" w:sz="0" w:space="0" w:color="auto"/>
      </w:divBdr>
    </w:div>
    <w:div w:id="1826428932">
      <w:bodyDiv w:val="1"/>
      <w:marLeft w:val="0"/>
      <w:marRight w:val="0"/>
      <w:marTop w:val="0"/>
      <w:marBottom w:val="0"/>
      <w:divBdr>
        <w:top w:val="none" w:sz="0" w:space="0" w:color="auto"/>
        <w:left w:val="none" w:sz="0" w:space="0" w:color="auto"/>
        <w:bottom w:val="none" w:sz="0" w:space="0" w:color="auto"/>
        <w:right w:val="none" w:sz="0" w:space="0" w:color="auto"/>
      </w:divBdr>
    </w:div>
    <w:div w:id="1839037384">
      <w:bodyDiv w:val="1"/>
      <w:marLeft w:val="0"/>
      <w:marRight w:val="0"/>
      <w:marTop w:val="0"/>
      <w:marBottom w:val="0"/>
      <w:divBdr>
        <w:top w:val="none" w:sz="0" w:space="0" w:color="auto"/>
        <w:left w:val="none" w:sz="0" w:space="0" w:color="auto"/>
        <w:bottom w:val="none" w:sz="0" w:space="0" w:color="auto"/>
        <w:right w:val="none" w:sz="0" w:space="0" w:color="auto"/>
      </w:divBdr>
    </w:div>
    <w:div w:id="1845630112">
      <w:bodyDiv w:val="1"/>
      <w:marLeft w:val="0"/>
      <w:marRight w:val="0"/>
      <w:marTop w:val="0"/>
      <w:marBottom w:val="0"/>
      <w:divBdr>
        <w:top w:val="none" w:sz="0" w:space="0" w:color="auto"/>
        <w:left w:val="none" w:sz="0" w:space="0" w:color="auto"/>
        <w:bottom w:val="none" w:sz="0" w:space="0" w:color="auto"/>
        <w:right w:val="none" w:sz="0" w:space="0" w:color="auto"/>
      </w:divBdr>
    </w:div>
    <w:div w:id="1884948377">
      <w:bodyDiv w:val="1"/>
      <w:marLeft w:val="0"/>
      <w:marRight w:val="0"/>
      <w:marTop w:val="0"/>
      <w:marBottom w:val="0"/>
      <w:divBdr>
        <w:top w:val="none" w:sz="0" w:space="0" w:color="auto"/>
        <w:left w:val="none" w:sz="0" w:space="0" w:color="auto"/>
        <w:bottom w:val="none" w:sz="0" w:space="0" w:color="auto"/>
        <w:right w:val="none" w:sz="0" w:space="0" w:color="auto"/>
      </w:divBdr>
    </w:div>
    <w:div w:id="1895652991">
      <w:bodyDiv w:val="1"/>
      <w:marLeft w:val="0"/>
      <w:marRight w:val="0"/>
      <w:marTop w:val="0"/>
      <w:marBottom w:val="0"/>
      <w:divBdr>
        <w:top w:val="none" w:sz="0" w:space="0" w:color="auto"/>
        <w:left w:val="none" w:sz="0" w:space="0" w:color="auto"/>
        <w:bottom w:val="none" w:sz="0" w:space="0" w:color="auto"/>
        <w:right w:val="none" w:sz="0" w:space="0" w:color="auto"/>
      </w:divBdr>
    </w:div>
    <w:div w:id="1901209320">
      <w:bodyDiv w:val="1"/>
      <w:marLeft w:val="0"/>
      <w:marRight w:val="0"/>
      <w:marTop w:val="0"/>
      <w:marBottom w:val="0"/>
      <w:divBdr>
        <w:top w:val="none" w:sz="0" w:space="0" w:color="auto"/>
        <w:left w:val="none" w:sz="0" w:space="0" w:color="auto"/>
        <w:bottom w:val="none" w:sz="0" w:space="0" w:color="auto"/>
        <w:right w:val="none" w:sz="0" w:space="0" w:color="auto"/>
      </w:divBdr>
    </w:div>
    <w:div w:id="1998262085">
      <w:bodyDiv w:val="1"/>
      <w:marLeft w:val="0"/>
      <w:marRight w:val="0"/>
      <w:marTop w:val="0"/>
      <w:marBottom w:val="0"/>
      <w:divBdr>
        <w:top w:val="none" w:sz="0" w:space="0" w:color="auto"/>
        <w:left w:val="none" w:sz="0" w:space="0" w:color="auto"/>
        <w:bottom w:val="none" w:sz="0" w:space="0" w:color="auto"/>
        <w:right w:val="none" w:sz="0" w:space="0" w:color="auto"/>
      </w:divBdr>
    </w:div>
    <w:div w:id="2007633686">
      <w:bodyDiv w:val="1"/>
      <w:marLeft w:val="0"/>
      <w:marRight w:val="0"/>
      <w:marTop w:val="0"/>
      <w:marBottom w:val="0"/>
      <w:divBdr>
        <w:top w:val="none" w:sz="0" w:space="0" w:color="auto"/>
        <w:left w:val="none" w:sz="0" w:space="0" w:color="auto"/>
        <w:bottom w:val="none" w:sz="0" w:space="0" w:color="auto"/>
        <w:right w:val="none" w:sz="0" w:space="0" w:color="auto"/>
      </w:divBdr>
    </w:div>
    <w:div w:id="2021661314">
      <w:bodyDiv w:val="1"/>
      <w:marLeft w:val="0"/>
      <w:marRight w:val="0"/>
      <w:marTop w:val="0"/>
      <w:marBottom w:val="0"/>
      <w:divBdr>
        <w:top w:val="none" w:sz="0" w:space="0" w:color="auto"/>
        <w:left w:val="none" w:sz="0" w:space="0" w:color="auto"/>
        <w:bottom w:val="none" w:sz="0" w:space="0" w:color="auto"/>
        <w:right w:val="none" w:sz="0" w:space="0" w:color="auto"/>
      </w:divBdr>
    </w:div>
    <w:div w:id="2023168980">
      <w:bodyDiv w:val="1"/>
      <w:marLeft w:val="0"/>
      <w:marRight w:val="0"/>
      <w:marTop w:val="0"/>
      <w:marBottom w:val="0"/>
      <w:divBdr>
        <w:top w:val="none" w:sz="0" w:space="0" w:color="auto"/>
        <w:left w:val="none" w:sz="0" w:space="0" w:color="auto"/>
        <w:bottom w:val="none" w:sz="0" w:space="0" w:color="auto"/>
        <w:right w:val="none" w:sz="0" w:space="0" w:color="auto"/>
      </w:divBdr>
    </w:div>
    <w:div w:id="2094744631">
      <w:bodyDiv w:val="1"/>
      <w:marLeft w:val="0"/>
      <w:marRight w:val="0"/>
      <w:marTop w:val="0"/>
      <w:marBottom w:val="0"/>
      <w:divBdr>
        <w:top w:val="none" w:sz="0" w:space="0" w:color="auto"/>
        <w:left w:val="none" w:sz="0" w:space="0" w:color="auto"/>
        <w:bottom w:val="none" w:sz="0" w:space="0" w:color="auto"/>
        <w:right w:val="none" w:sz="0" w:space="0" w:color="auto"/>
      </w:divBdr>
    </w:div>
    <w:div w:id="211439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Gulam\Documents\Nigeria\Nigeria%20Nexant\114\TCN%20Financial%20Model\TCN%20FinModel%207%20March%202014.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'Tables &amp; Charts'!$A$16</c:f>
              <c:strCache>
                <c:ptCount val="1"/>
                <c:pt idx="0">
                  <c:v>Energy wheeled (sent out by stations) (GWh)</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cat>
            <c:numRef>
              <c:f>'Tables &amp; Charts'!$B$15:$D$15</c:f>
              <c:numCache>
                <c:formatCode>0</c:formatCode>
                <c:ptCount val="3"/>
                <c:pt idx="0">
                  <c:v>2011</c:v>
                </c:pt>
                <c:pt idx="1">
                  <c:v>2012</c:v>
                </c:pt>
                <c:pt idx="2">
                  <c:v>2013</c:v>
                </c:pt>
              </c:numCache>
            </c:numRef>
          </c:cat>
          <c:val>
            <c:numRef>
              <c:f>'Tables &amp; Charts'!$B$16:$D$16</c:f>
              <c:numCache>
                <c:formatCode>#,##0</c:formatCode>
                <c:ptCount val="3"/>
                <c:pt idx="0">
                  <c:v>26999.350000000002</c:v>
                </c:pt>
                <c:pt idx="1">
                  <c:v>28890.18</c:v>
                </c:pt>
                <c:pt idx="2">
                  <c:v>28878.959999999992</c:v>
                </c:pt>
              </c:numCache>
            </c:numRef>
          </c:val>
        </c:ser>
        <c:ser>
          <c:idx val="1"/>
          <c:order val="1"/>
          <c:tx>
            <c:strRef>
              <c:f>'Tables &amp; Charts'!$A$17</c:f>
              <c:strCache>
                <c:ptCount val="1"/>
                <c:pt idx="0">
                  <c:v>Bulk supply to DisCos (GWh)</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cat>
            <c:numRef>
              <c:f>'Tables &amp; Charts'!$B$15:$D$15</c:f>
              <c:numCache>
                <c:formatCode>0</c:formatCode>
                <c:ptCount val="3"/>
                <c:pt idx="0">
                  <c:v>2011</c:v>
                </c:pt>
                <c:pt idx="1">
                  <c:v>2012</c:v>
                </c:pt>
                <c:pt idx="2">
                  <c:v>2013</c:v>
                </c:pt>
              </c:numCache>
            </c:numRef>
          </c:cat>
          <c:val>
            <c:numRef>
              <c:f>'Tables &amp; Charts'!$B$17:$D$17</c:f>
              <c:numCache>
                <c:formatCode>#,##0</c:formatCode>
                <c:ptCount val="3"/>
                <c:pt idx="0">
                  <c:v>24204.609999999993</c:v>
                </c:pt>
                <c:pt idx="1">
                  <c:v>25384.858999999997</c:v>
                </c:pt>
                <c:pt idx="2">
                  <c:v>25373.164223553478</c:v>
                </c:pt>
              </c:numCache>
            </c:numRef>
          </c:val>
        </c:ser>
        <c:gapWidth val="206"/>
        <c:overlap val="-27"/>
        <c:axId val="153987712"/>
        <c:axId val="153993600"/>
      </c:barChart>
      <c:lineChart>
        <c:grouping val="stacked"/>
        <c:ser>
          <c:idx val="2"/>
          <c:order val="2"/>
          <c:tx>
            <c:strRef>
              <c:f>'Tables &amp; Charts'!$A$18</c:f>
              <c:strCache>
                <c:ptCount val="1"/>
                <c:pt idx="0">
                  <c:v>Transmission losses (%)</c:v>
                </c:pt>
              </c:strCache>
            </c:strRef>
          </c:tx>
          <c:spPr>
            <a:ln w="31750" cap="rnd">
              <a:solidFill>
                <a:srgbClr val="FF0000"/>
              </a:solidFill>
              <a:round/>
            </a:ln>
            <a:effectLst/>
          </c:spPr>
          <c:marker>
            <c:symbol val="circle"/>
            <c:size val="6"/>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12700">
                <a:solidFill>
                  <a:schemeClr val="lt2"/>
                </a:solidFill>
                <a:round/>
              </a:ln>
              <a:effectLst/>
            </c:spPr>
          </c:marker>
          <c:cat>
            <c:numRef>
              <c:f>'Tables &amp; Charts'!$B$15:$D$15</c:f>
              <c:numCache>
                <c:formatCode>0</c:formatCode>
                <c:ptCount val="3"/>
                <c:pt idx="0">
                  <c:v>2011</c:v>
                </c:pt>
                <c:pt idx="1">
                  <c:v>2012</c:v>
                </c:pt>
                <c:pt idx="2">
                  <c:v>2013</c:v>
                </c:pt>
              </c:numCache>
            </c:numRef>
          </c:cat>
          <c:val>
            <c:numRef>
              <c:f>'Tables &amp; Charts'!$B$18:$D$18</c:f>
              <c:numCache>
                <c:formatCode>0.0%</c:formatCode>
                <c:ptCount val="3"/>
                <c:pt idx="0">
                  <c:v>0.10351138082953854</c:v>
                </c:pt>
                <c:pt idx="1">
                  <c:v>0.12133261198095691</c:v>
                </c:pt>
                <c:pt idx="2">
                  <c:v>0.12139619212210274</c:v>
                </c:pt>
              </c:numCache>
            </c:numRef>
          </c:val>
        </c:ser>
        <c:marker val="1"/>
        <c:axId val="155082752"/>
        <c:axId val="153995520"/>
      </c:lineChart>
      <c:catAx>
        <c:axId val="153987712"/>
        <c:scaling>
          <c:orientation val="minMax"/>
        </c:scaling>
        <c:axPos val="b"/>
        <c:numFmt formatCode="0" sourceLinked="1"/>
        <c:maj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53993600"/>
        <c:crosses val="autoZero"/>
        <c:auto val="1"/>
        <c:lblAlgn val="ctr"/>
        <c:lblOffset val="100"/>
      </c:catAx>
      <c:valAx>
        <c:axId val="153993600"/>
        <c:scaling>
          <c:orientation val="minMax"/>
          <c:min val="20000"/>
        </c:scaling>
        <c:axPos val="l"/>
        <c:majorGridlines>
          <c:spPr>
            <a:ln w="9525" cap="flat" cmpd="sng" algn="ctr">
              <a:solidFill>
                <a:schemeClr val="tx2">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53987712"/>
        <c:crosses val="autoZero"/>
        <c:crossBetween val="between"/>
      </c:valAx>
      <c:valAx>
        <c:axId val="153995520"/>
        <c:scaling>
          <c:orientation val="minMax"/>
        </c:scaling>
        <c:axPos val="r"/>
        <c:numFmt formatCode="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155082752"/>
        <c:crosses val="max"/>
        <c:crossBetween val="between"/>
      </c:valAx>
      <c:catAx>
        <c:axId val="155082752"/>
        <c:scaling>
          <c:orientation val="minMax"/>
        </c:scaling>
        <c:delete val="1"/>
        <c:axPos val="b"/>
        <c:numFmt formatCode="0" sourceLinked="1"/>
        <c:majorTickMark val="none"/>
        <c:tickLblPos val="none"/>
        <c:crossAx val="153995520"/>
        <c:crosses val="autoZero"/>
        <c:auto val="1"/>
        <c:lblAlgn val="ctr"/>
        <c:lblOffset val="100"/>
      </c:cat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baseline="0"/>
              <a:t>2013 Billing Collection Performance in NGN millions</a:t>
            </a:r>
          </a:p>
        </c:rich>
      </c:tx>
      <c:layout>
        <c:manualLayout>
          <c:xMode val="edge"/>
          <c:yMode val="edge"/>
          <c:x val="0.12868744531933513"/>
          <c:y val="2.7777777777777801E-2"/>
        </c:manualLayout>
      </c:layout>
      <c:spPr>
        <a:noFill/>
        <a:ln>
          <a:noFill/>
        </a:ln>
        <a:effectLst/>
      </c:spPr>
    </c:title>
    <c:plotArea>
      <c:layout/>
      <c:areaChart>
        <c:grouping val="stacked"/>
        <c:ser>
          <c:idx val="0"/>
          <c:order val="0"/>
          <c:tx>
            <c:strRef>
              <c:f>'Tables &amp; Charts'!$A$242</c:f>
              <c:strCache>
                <c:ptCount val="1"/>
                <c:pt idx="0">
                  <c:v>Collected</c:v>
                </c:pt>
              </c:strCache>
            </c:strRef>
          </c:tx>
          <c:spPr>
            <a:solidFill>
              <a:schemeClr val="accent1"/>
            </a:solidFill>
            <a:ln>
              <a:noFill/>
            </a:ln>
            <a:effectLst/>
          </c:spPr>
          <c:cat>
            <c:strRef>
              <c:f>'Tables &amp; Charts'!$B$241:$M$241</c:f>
              <c:strCache>
                <c:ptCount val="12"/>
                <c:pt idx="0">
                  <c:v>Jan</c:v>
                </c:pt>
                <c:pt idx="1">
                  <c:v>Feb</c:v>
                </c:pt>
                <c:pt idx="2">
                  <c:v>March</c:v>
                </c:pt>
                <c:pt idx="3">
                  <c:v>Apr</c:v>
                </c:pt>
                <c:pt idx="4">
                  <c:v>May</c:v>
                </c:pt>
                <c:pt idx="5">
                  <c:v>June</c:v>
                </c:pt>
                <c:pt idx="6">
                  <c:v>July</c:v>
                </c:pt>
                <c:pt idx="7">
                  <c:v>Aug</c:v>
                </c:pt>
                <c:pt idx="8">
                  <c:v>Sept</c:v>
                </c:pt>
                <c:pt idx="9">
                  <c:v>Oct</c:v>
                </c:pt>
                <c:pt idx="10">
                  <c:v>Nov</c:v>
                </c:pt>
                <c:pt idx="11">
                  <c:v>Dec</c:v>
                </c:pt>
              </c:strCache>
            </c:strRef>
          </c:cat>
          <c:val>
            <c:numRef>
              <c:f>'Tables &amp; Charts'!$B$242:$M$242</c:f>
              <c:numCache>
                <c:formatCode>#,##0</c:formatCode>
                <c:ptCount val="12"/>
                <c:pt idx="0">
                  <c:v>2164.1252971599997</c:v>
                </c:pt>
                <c:pt idx="1">
                  <c:v>1774.7380605300002</c:v>
                </c:pt>
                <c:pt idx="2">
                  <c:v>1490.6074790050002</c:v>
                </c:pt>
                <c:pt idx="3">
                  <c:v>1738.1825620349998</c:v>
                </c:pt>
                <c:pt idx="4">
                  <c:v>1609.0067204850004</c:v>
                </c:pt>
                <c:pt idx="5">
                  <c:v>1575.8697441299998</c:v>
                </c:pt>
                <c:pt idx="6">
                  <c:v>1584.4646078599999</c:v>
                </c:pt>
                <c:pt idx="7">
                  <c:v>1588.5101555850001</c:v>
                </c:pt>
                <c:pt idx="8">
                  <c:v>1643.8876511050005</c:v>
                </c:pt>
                <c:pt idx="9">
                  <c:v>1807.6947594600001</c:v>
                </c:pt>
                <c:pt idx="10">
                  <c:v>2680.5919742507726</c:v>
                </c:pt>
                <c:pt idx="11">
                  <c:v>2108.221785209349</c:v>
                </c:pt>
              </c:numCache>
            </c:numRef>
          </c:val>
        </c:ser>
        <c:ser>
          <c:idx val="1"/>
          <c:order val="1"/>
          <c:tx>
            <c:strRef>
              <c:f>'Tables &amp; Charts'!$A$243</c:f>
              <c:strCache>
                <c:ptCount val="1"/>
                <c:pt idx="0">
                  <c:v>Uncollected</c:v>
                </c:pt>
              </c:strCache>
            </c:strRef>
          </c:tx>
          <c:spPr>
            <a:solidFill>
              <a:srgbClr val="FF0000"/>
            </a:solidFill>
            <a:ln>
              <a:noFill/>
            </a:ln>
            <a:effectLst/>
          </c:spPr>
          <c:cat>
            <c:strRef>
              <c:f>'Tables &amp; Charts'!$B$241:$M$241</c:f>
              <c:strCache>
                <c:ptCount val="12"/>
                <c:pt idx="0">
                  <c:v>Jan</c:v>
                </c:pt>
                <c:pt idx="1">
                  <c:v>Feb</c:v>
                </c:pt>
                <c:pt idx="2">
                  <c:v>March</c:v>
                </c:pt>
                <c:pt idx="3">
                  <c:v>Apr</c:v>
                </c:pt>
                <c:pt idx="4">
                  <c:v>May</c:v>
                </c:pt>
                <c:pt idx="5">
                  <c:v>June</c:v>
                </c:pt>
                <c:pt idx="6">
                  <c:v>July</c:v>
                </c:pt>
                <c:pt idx="7">
                  <c:v>Aug</c:v>
                </c:pt>
                <c:pt idx="8">
                  <c:v>Sept</c:v>
                </c:pt>
                <c:pt idx="9">
                  <c:v>Oct</c:v>
                </c:pt>
                <c:pt idx="10">
                  <c:v>Nov</c:v>
                </c:pt>
                <c:pt idx="11">
                  <c:v>Dec</c:v>
                </c:pt>
              </c:strCache>
            </c:strRef>
          </c:cat>
          <c:val>
            <c:numRef>
              <c:f>'Tables &amp; Charts'!$B$243:$M$243</c:f>
              <c:numCache>
                <c:formatCode>#,##0</c:formatCode>
                <c:ptCount val="12"/>
                <c:pt idx="0">
                  <c:v>1399.14225046</c:v>
                </c:pt>
                <c:pt idx="1">
                  <c:v>1451.3571559800005</c:v>
                </c:pt>
                <c:pt idx="2">
                  <c:v>1962.556545295</c:v>
                </c:pt>
                <c:pt idx="3">
                  <c:v>1416.4542690850003</c:v>
                </c:pt>
                <c:pt idx="4">
                  <c:v>1500.414986685</c:v>
                </c:pt>
                <c:pt idx="5">
                  <c:v>1110.1064496299998</c:v>
                </c:pt>
                <c:pt idx="6">
                  <c:v>1126.8736333299998</c:v>
                </c:pt>
                <c:pt idx="7">
                  <c:v>1170.899593975</c:v>
                </c:pt>
                <c:pt idx="8">
                  <c:v>1035.4743256549998</c:v>
                </c:pt>
                <c:pt idx="9">
                  <c:v>1135.54582473</c:v>
                </c:pt>
                <c:pt idx="10">
                  <c:v>-45.159974340772813</c:v>
                </c:pt>
                <c:pt idx="11">
                  <c:v>751.78688937065135</c:v>
                </c:pt>
              </c:numCache>
            </c:numRef>
          </c:val>
        </c:ser>
        <c:axId val="150107648"/>
        <c:axId val="150109184"/>
      </c:areaChart>
      <c:catAx>
        <c:axId val="150107648"/>
        <c:scaling>
          <c:orientation val="minMax"/>
        </c:scaling>
        <c:axPos val="b"/>
        <c:numFmt formatCode="General" sourceLinked="1"/>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109184"/>
        <c:crosses val="autoZero"/>
        <c:auto val="1"/>
        <c:lblAlgn val="ctr"/>
        <c:lblOffset val="100"/>
      </c:catAx>
      <c:valAx>
        <c:axId val="150109184"/>
        <c:scaling>
          <c:orientation val="minMax"/>
        </c:scaling>
        <c:axPos val="l"/>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107648"/>
        <c:crosses val="autoZero"/>
        <c:crossBetween val="midCat"/>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1667E-16A0-4A7A-848A-18EA10338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1421</TotalTime>
  <Pages>11</Pages>
  <Words>1839</Words>
  <Characters>10488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ANNEX 3 – FINANCIAL ANALYSIS OF TCN</vt:lpstr>
    </vt:vector>
  </TitlesOfParts>
  <Company/>
  <LinksUpToDate>false</LinksUpToDate>
  <CharactersWithSpaces>12303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 – FINANCIAL ANALYSIS OF TCN</dc:title>
  <dc:subject/>
  <dc:creator>Gulam Dhalla</dc:creator>
  <cp:keywords/>
  <dc:description/>
  <cp:lastModifiedBy>tsimpson</cp:lastModifiedBy>
  <cp:revision>42</cp:revision>
  <dcterms:created xsi:type="dcterms:W3CDTF">2014-02-24T10:38:00Z</dcterms:created>
  <dcterms:modified xsi:type="dcterms:W3CDTF">2014-03-15T14:56:00Z</dcterms:modified>
</cp:coreProperties>
</file>