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979" w:rsidRDefault="00362979" w:rsidP="00362979">
      <w:pPr>
        <w:rPr>
          <w:b/>
          <w:sz w:val="40"/>
          <w:szCs w:val="40"/>
        </w:rPr>
      </w:pPr>
    </w:p>
    <w:p w:rsidR="00362979" w:rsidRPr="00362979" w:rsidRDefault="00362979" w:rsidP="00362979">
      <w:pPr>
        <w:rPr>
          <w:b/>
          <w:sz w:val="40"/>
          <w:szCs w:val="40"/>
        </w:rPr>
      </w:pPr>
      <w:r w:rsidRPr="00362979">
        <w:rPr>
          <w:b/>
          <w:sz w:val="40"/>
          <w:szCs w:val="40"/>
        </w:rPr>
        <w:t xml:space="preserve">Financial Analysis of </w:t>
      </w:r>
      <w:r w:rsidRPr="00362979">
        <w:rPr>
          <w:b/>
          <w:sz w:val="40"/>
          <w:szCs w:val="40"/>
        </w:rPr>
        <w:t>Financing Package 2</w:t>
      </w:r>
      <w:r w:rsidRPr="00362979">
        <w:rPr>
          <w:b/>
          <w:sz w:val="40"/>
          <w:szCs w:val="40"/>
        </w:rPr>
        <w:t xml:space="preserve"> Projects</w:t>
      </w:r>
    </w:p>
    <w:p w:rsidR="00362979" w:rsidRDefault="00362979" w:rsidP="00362979"/>
    <w:p w:rsidR="00616AAF" w:rsidRPr="00362979" w:rsidRDefault="00616AAF" w:rsidP="00362979">
      <w:r w:rsidRPr="00362979">
        <w:t>This Annex presents</w:t>
      </w:r>
      <w:r w:rsidR="00897B5C" w:rsidRPr="00362979">
        <w:t xml:space="preserve"> </w:t>
      </w:r>
      <w:r w:rsidRPr="00362979">
        <w:t xml:space="preserve">the financial analysis of the five project </w:t>
      </w:r>
      <w:r w:rsidR="00540C43" w:rsidRPr="00362979">
        <w:t xml:space="preserve">groups of package 2 of projects </w:t>
      </w:r>
      <w:r w:rsidRPr="00362979">
        <w:t>for TSP.</w:t>
      </w:r>
    </w:p>
    <w:p w:rsidR="00DD698E" w:rsidRDefault="006B43A8" w:rsidP="00362979">
      <w:pPr>
        <w:pStyle w:val="Heading2"/>
      </w:pPr>
      <w:r>
        <w:t>Methodology</w:t>
      </w:r>
    </w:p>
    <w:p w:rsidR="00A6330E" w:rsidRDefault="006B43A8" w:rsidP="00362979">
      <w:pPr>
        <w:pStyle w:val="Style1"/>
      </w:pPr>
      <w:r>
        <w:t>The</w:t>
      </w:r>
      <w:r w:rsidR="00133535">
        <w:t xml:space="preserve"> </w:t>
      </w:r>
      <w:r w:rsidR="00540C43">
        <w:t xml:space="preserve">project </w:t>
      </w:r>
      <w:r w:rsidR="00540C43">
        <w:rPr>
          <w:rFonts w:hint="eastAsia"/>
        </w:rPr>
        <w:t>financial analysi</w:t>
      </w:r>
      <w:r w:rsidR="00133535">
        <w:rPr>
          <w:rFonts w:hint="eastAsia"/>
        </w:rPr>
        <w:t xml:space="preserve">s </w:t>
      </w:r>
      <w:r w:rsidR="00540C43">
        <w:t>is</w:t>
      </w:r>
      <w:r w:rsidR="00540C43">
        <w:rPr>
          <w:rFonts w:hint="eastAsia"/>
        </w:rPr>
        <w:t xml:space="preserve"> carried out by comparing project </w:t>
      </w:r>
      <w:r w:rsidR="00133535">
        <w:rPr>
          <w:rFonts w:hint="eastAsia"/>
        </w:rPr>
        <w:t xml:space="preserve">revenues </w:t>
      </w:r>
      <w:r w:rsidR="00133535">
        <w:t>and</w:t>
      </w:r>
      <w:r w:rsidR="00133535">
        <w:rPr>
          <w:rFonts w:hint="eastAsia"/>
        </w:rPr>
        <w:t xml:space="preserve"> the various project costs </w:t>
      </w:r>
      <w:r w:rsidR="00540C43">
        <w:t xml:space="preserve">in constant 2013 US dollars </w:t>
      </w:r>
      <w:r w:rsidR="00DC4C25">
        <w:t xml:space="preserve">over project life (30 years) </w:t>
      </w:r>
      <w:r w:rsidR="00133535">
        <w:rPr>
          <w:rFonts w:hint="eastAsia"/>
        </w:rPr>
        <w:t>to assess the</w:t>
      </w:r>
      <w:r w:rsidR="00540C43">
        <w:t>ir</w:t>
      </w:r>
      <w:r w:rsidR="00133535">
        <w:rPr>
          <w:rFonts w:hint="eastAsia"/>
        </w:rPr>
        <w:t xml:space="preserve"> profitability. </w:t>
      </w:r>
      <w:r w:rsidR="00524836">
        <w:t xml:space="preserve"> </w:t>
      </w:r>
    </w:p>
    <w:p w:rsidR="00A6330E" w:rsidRDefault="00DC4C25" w:rsidP="00362979">
      <w:pPr>
        <w:pStyle w:val="Style1"/>
      </w:pPr>
      <w:r>
        <w:t>Annual p</w:t>
      </w:r>
      <w:r w:rsidR="00A6330E">
        <w:t>roject revenues for each group from project commissioning in 2018 are computed according to the following formula:</w:t>
      </w:r>
    </w:p>
    <w:p w:rsidR="00A6330E" w:rsidRPr="00194644" w:rsidRDefault="00A6330E" w:rsidP="00362979">
      <w:pPr>
        <w:pStyle w:val="bulletstyle"/>
      </w:pPr>
      <w:r w:rsidRPr="00194644">
        <w:t>Bulk energy supply, multiplied by</w:t>
      </w:r>
    </w:p>
    <w:p w:rsidR="00A6330E" w:rsidRDefault="00A6330E" w:rsidP="00362979">
      <w:pPr>
        <w:pStyle w:val="bulletstyle"/>
      </w:pPr>
      <w:r>
        <w:t>Average tariff</w:t>
      </w:r>
      <w:r w:rsidR="00AC1203">
        <w:t xml:space="preserve"> of TSP</w:t>
      </w:r>
      <w:r w:rsidR="00DC4C25">
        <w:t>, multiplied by</w:t>
      </w:r>
    </w:p>
    <w:p w:rsidR="00DC4C25" w:rsidRDefault="00DC4C25" w:rsidP="00362979">
      <w:pPr>
        <w:pStyle w:val="bulletstyle"/>
      </w:pPr>
      <w:r>
        <w:t>Billing collection rate</w:t>
      </w:r>
    </w:p>
    <w:p w:rsidR="00DC4C25" w:rsidRDefault="00DC4C25" w:rsidP="00362979">
      <w:pPr>
        <w:pStyle w:val="Style1"/>
      </w:pPr>
      <w:r>
        <w:t>Annual project costs for each group comprise of:</w:t>
      </w:r>
    </w:p>
    <w:p w:rsidR="00DC4C25" w:rsidRPr="00194644" w:rsidRDefault="00DC4C25" w:rsidP="00362979">
      <w:pPr>
        <w:pStyle w:val="bulletstyle"/>
      </w:pPr>
      <w:r w:rsidRPr="00194644">
        <w:t xml:space="preserve">Capital investment costs as per disbursement profiles indicated in </w:t>
      </w:r>
      <w:fldSimple w:instr=" REF _Ref382239979 \h  \* MERGEFORMAT ">
        <w:r w:rsidRPr="00194644">
          <w:t>Table 1</w:t>
        </w:r>
      </w:fldSimple>
      <w:r w:rsidRPr="00194644">
        <w:t xml:space="preserve"> below, plus</w:t>
      </w:r>
    </w:p>
    <w:p w:rsidR="00DC4C25" w:rsidRPr="00194644" w:rsidRDefault="00DC4C25" w:rsidP="00362979">
      <w:pPr>
        <w:pStyle w:val="bulletstyle"/>
      </w:pPr>
      <w:r w:rsidRPr="00194644">
        <w:t>Operations and maintenance (O&amp;M) costs, from project commissioning, equivalent to 1% of capital investment costs, plus</w:t>
      </w:r>
    </w:p>
    <w:p w:rsidR="00DC4C25" w:rsidRPr="00194644" w:rsidRDefault="00DC4C25" w:rsidP="00362979">
      <w:pPr>
        <w:pStyle w:val="bulletstyle"/>
      </w:pPr>
      <w:r w:rsidRPr="00194644">
        <w:t>Corporate income tax on profits.</w:t>
      </w:r>
    </w:p>
    <w:p w:rsidR="00CF4FB7" w:rsidRDefault="00CF4FB7" w:rsidP="00362979">
      <w:pPr>
        <w:pStyle w:val="Style1"/>
      </w:pPr>
      <w:r w:rsidRPr="00CF4FB7">
        <w:t>Financing costs are not considered as project financial viability is considered from an investor/owner perspective</w:t>
      </w:r>
      <w:r>
        <w:t>.</w:t>
      </w:r>
    </w:p>
    <w:p w:rsidR="006B43A8" w:rsidRDefault="00133535" w:rsidP="00362979">
      <w:pPr>
        <w:pStyle w:val="Style1"/>
      </w:pPr>
      <w:r>
        <w:rPr>
          <w:rFonts w:hint="eastAsia"/>
        </w:rPr>
        <w:t xml:space="preserve">The </w:t>
      </w:r>
      <w:r>
        <w:t xml:space="preserve">base case results of the financial analysis are considered in terms of the </w:t>
      </w:r>
      <w:r>
        <w:rPr>
          <w:rFonts w:hint="eastAsia"/>
        </w:rPr>
        <w:t xml:space="preserve">financial </w:t>
      </w:r>
      <w:r w:rsidRPr="001E7DEE">
        <w:t>internal rate of return (</w:t>
      </w:r>
      <w:r>
        <w:rPr>
          <w:rFonts w:hint="eastAsia"/>
        </w:rPr>
        <w:t>F</w:t>
      </w:r>
      <w:r w:rsidRPr="001E7DEE">
        <w:t>IRR)</w:t>
      </w:r>
      <w:r>
        <w:t>, fin</w:t>
      </w:r>
      <w:r w:rsidR="00540C43">
        <w:t xml:space="preserve">ancial net present value (FNPV), </w:t>
      </w:r>
      <w:r>
        <w:t>benefits to cost ration (B/C)</w:t>
      </w:r>
      <w:r w:rsidR="00540C43">
        <w:t xml:space="preserve"> and simple payback period</w:t>
      </w:r>
      <w:r>
        <w:t>. The results of various scenarios are presented in terms of FIRR.</w:t>
      </w:r>
    </w:p>
    <w:p w:rsidR="00AF261C" w:rsidRDefault="00904957" w:rsidP="00362979">
      <w:pPr>
        <w:pStyle w:val="Heading2"/>
      </w:pPr>
      <w:r>
        <w:t>I</w:t>
      </w:r>
      <w:r w:rsidR="00A6330E">
        <w:t xml:space="preserve">nvestment </w:t>
      </w:r>
      <w:r w:rsidR="00540C43">
        <w:t>Costs</w:t>
      </w:r>
    </w:p>
    <w:p w:rsidR="00904957" w:rsidRDefault="00540C43" w:rsidP="00362979">
      <w:pPr>
        <w:pStyle w:val="Style1"/>
      </w:pPr>
      <w:r>
        <w:t xml:space="preserve">The estimated project costs </w:t>
      </w:r>
      <w:r w:rsidR="00A6330E">
        <w:t xml:space="preserve">and disbursement profiles </w:t>
      </w:r>
      <w:r>
        <w:t>for each group of the five packages are summarized in</w:t>
      </w:r>
      <w:r w:rsidR="00A6330E">
        <w:t xml:space="preserve"> </w:t>
      </w:r>
      <w:r w:rsidR="00454B7E">
        <w:fldChar w:fldCharType="begin"/>
      </w:r>
      <w:r w:rsidR="00454B7E">
        <w:instrText xml:space="preserve"> REF _Ref382239979 \h </w:instrText>
      </w:r>
      <w:r w:rsidR="00454B7E">
        <w:fldChar w:fldCharType="separate"/>
      </w:r>
      <w:r w:rsidR="00A6330E">
        <w:t xml:space="preserve">Table </w:t>
      </w:r>
      <w:r w:rsidR="00A6330E">
        <w:rPr>
          <w:noProof/>
        </w:rPr>
        <w:t>1</w:t>
      </w:r>
      <w:r w:rsidR="00454B7E">
        <w:fldChar w:fldCharType="end"/>
      </w:r>
      <w:r>
        <w:t xml:space="preserve"> below.</w:t>
      </w:r>
    </w:p>
    <w:p w:rsidR="00540C43" w:rsidRPr="00194644" w:rsidRDefault="00A6330E" w:rsidP="00362979">
      <w:pPr>
        <w:pStyle w:val="Caption"/>
      </w:pPr>
      <w:bookmarkStart w:id="0" w:name="_Ref382239979"/>
      <w:r w:rsidRPr="00194644">
        <w:lastRenderedPageBreak/>
        <w:t xml:space="preserve">Table </w:t>
      </w:r>
      <w:fldSimple w:instr=" SEQ Table \* ARABIC ">
        <w:r w:rsidR="003C056D" w:rsidRPr="00194644">
          <w:t>1</w:t>
        </w:r>
      </w:fldSimple>
      <w:bookmarkEnd w:id="0"/>
      <w:r w:rsidRPr="00194644">
        <w:t>: Investment Costs in 2013 US$ millions</w:t>
      </w:r>
    </w:p>
    <w:tbl>
      <w:tblPr>
        <w:tblW w:w="5900" w:type="dxa"/>
        <w:jc w:val="center"/>
        <w:tblLook w:val="04A0"/>
      </w:tblPr>
      <w:tblGrid>
        <w:gridCol w:w="2028"/>
        <w:gridCol w:w="968"/>
        <w:gridCol w:w="968"/>
        <w:gridCol w:w="968"/>
        <w:gridCol w:w="968"/>
      </w:tblGrid>
      <w:tr w:rsidR="00185C71" w:rsidRPr="00185C71" w:rsidTr="00185C71">
        <w:trPr>
          <w:trHeight w:val="300"/>
          <w:jc w:val="center"/>
        </w:trPr>
        <w:tc>
          <w:tcPr>
            <w:tcW w:w="2028" w:type="dxa"/>
            <w:tcBorders>
              <w:top w:val="single" w:sz="4" w:space="0" w:color="auto"/>
              <w:left w:val="single" w:sz="4" w:space="0" w:color="auto"/>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 </w:t>
            </w:r>
          </w:p>
        </w:tc>
        <w:tc>
          <w:tcPr>
            <w:tcW w:w="968" w:type="dxa"/>
            <w:tcBorders>
              <w:top w:val="single" w:sz="4" w:space="0" w:color="auto"/>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2015</w:t>
            </w:r>
          </w:p>
        </w:tc>
        <w:tc>
          <w:tcPr>
            <w:tcW w:w="968" w:type="dxa"/>
            <w:tcBorders>
              <w:top w:val="single" w:sz="4" w:space="0" w:color="auto"/>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2016</w:t>
            </w:r>
          </w:p>
        </w:tc>
        <w:tc>
          <w:tcPr>
            <w:tcW w:w="968" w:type="dxa"/>
            <w:tcBorders>
              <w:top w:val="single" w:sz="4" w:space="0" w:color="auto"/>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2017</w:t>
            </w:r>
          </w:p>
        </w:tc>
        <w:tc>
          <w:tcPr>
            <w:tcW w:w="968" w:type="dxa"/>
            <w:tcBorders>
              <w:top w:val="single" w:sz="4" w:space="0" w:color="auto"/>
              <w:left w:val="nil"/>
              <w:bottom w:val="single" w:sz="4" w:space="0" w:color="auto"/>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Total</w:t>
            </w:r>
          </w:p>
        </w:tc>
      </w:tr>
      <w:tr w:rsidR="00185C71" w:rsidRPr="00185C71" w:rsidTr="00185C71">
        <w:trPr>
          <w:trHeight w:val="300"/>
          <w:jc w:val="center"/>
        </w:trPr>
        <w:tc>
          <w:tcPr>
            <w:tcW w:w="2028" w:type="dxa"/>
            <w:tcBorders>
              <w:top w:val="nil"/>
              <w:left w:val="single" w:sz="4" w:space="0" w:color="auto"/>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Group 1</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306</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88</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44</w:t>
            </w:r>
          </w:p>
        </w:tc>
        <w:tc>
          <w:tcPr>
            <w:tcW w:w="968" w:type="dxa"/>
            <w:tcBorders>
              <w:top w:val="nil"/>
              <w:left w:val="nil"/>
              <w:bottom w:val="nil"/>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438</w:t>
            </w:r>
          </w:p>
        </w:tc>
      </w:tr>
      <w:tr w:rsidR="00185C71" w:rsidRPr="00185C71" w:rsidTr="00185C71">
        <w:trPr>
          <w:trHeight w:val="300"/>
          <w:jc w:val="center"/>
        </w:trPr>
        <w:tc>
          <w:tcPr>
            <w:tcW w:w="2028" w:type="dxa"/>
            <w:tcBorders>
              <w:top w:val="nil"/>
              <w:left w:val="single" w:sz="4" w:space="0" w:color="auto"/>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Group 2</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384</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110</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55</w:t>
            </w:r>
          </w:p>
        </w:tc>
        <w:tc>
          <w:tcPr>
            <w:tcW w:w="968" w:type="dxa"/>
            <w:tcBorders>
              <w:top w:val="nil"/>
              <w:left w:val="nil"/>
              <w:bottom w:val="nil"/>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548</w:t>
            </w:r>
          </w:p>
        </w:tc>
      </w:tr>
      <w:tr w:rsidR="00185C71" w:rsidRPr="00185C71" w:rsidTr="00185C71">
        <w:trPr>
          <w:trHeight w:val="300"/>
          <w:jc w:val="center"/>
        </w:trPr>
        <w:tc>
          <w:tcPr>
            <w:tcW w:w="2028" w:type="dxa"/>
            <w:tcBorders>
              <w:top w:val="nil"/>
              <w:left w:val="single" w:sz="4" w:space="0" w:color="auto"/>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Group 3</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172</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49</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25</w:t>
            </w:r>
          </w:p>
        </w:tc>
        <w:tc>
          <w:tcPr>
            <w:tcW w:w="968" w:type="dxa"/>
            <w:tcBorders>
              <w:top w:val="nil"/>
              <w:left w:val="nil"/>
              <w:bottom w:val="nil"/>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246</w:t>
            </w:r>
          </w:p>
        </w:tc>
      </w:tr>
      <w:tr w:rsidR="00185C71" w:rsidRPr="00185C71" w:rsidTr="00185C71">
        <w:trPr>
          <w:trHeight w:val="300"/>
          <w:jc w:val="center"/>
        </w:trPr>
        <w:tc>
          <w:tcPr>
            <w:tcW w:w="2028" w:type="dxa"/>
            <w:tcBorders>
              <w:top w:val="nil"/>
              <w:left w:val="single" w:sz="4" w:space="0" w:color="auto"/>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Group 4</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432</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123</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62</w:t>
            </w:r>
          </w:p>
        </w:tc>
        <w:tc>
          <w:tcPr>
            <w:tcW w:w="968" w:type="dxa"/>
            <w:tcBorders>
              <w:top w:val="nil"/>
              <w:left w:val="nil"/>
              <w:bottom w:val="nil"/>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617</w:t>
            </w:r>
          </w:p>
        </w:tc>
      </w:tr>
      <w:tr w:rsidR="00185C71" w:rsidRPr="00185C71" w:rsidTr="00185C71">
        <w:trPr>
          <w:trHeight w:val="300"/>
          <w:jc w:val="center"/>
        </w:trPr>
        <w:tc>
          <w:tcPr>
            <w:tcW w:w="2028" w:type="dxa"/>
            <w:tcBorders>
              <w:top w:val="nil"/>
              <w:left w:val="single" w:sz="4" w:space="0" w:color="auto"/>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Group 5</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297</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59</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30</w:t>
            </w:r>
          </w:p>
        </w:tc>
        <w:tc>
          <w:tcPr>
            <w:tcW w:w="968" w:type="dxa"/>
            <w:tcBorders>
              <w:top w:val="nil"/>
              <w:left w:val="nil"/>
              <w:bottom w:val="nil"/>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385</w:t>
            </w:r>
          </w:p>
        </w:tc>
      </w:tr>
      <w:tr w:rsidR="00185C71" w:rsidRPr="00185C71" w:rsidTr="00185C71">
        <w:trPr>
          <w:trHeight w:val="300"/>
          <w:jc w:val="center"/>
        </w:trPr>
        <w:tc>
          <w:tcPr>
            <w:tcW w:w="2028" w:type="dxa"/>
            <w:tcBorders>
              <w:top w:val="single" w:sz="4" w:space="0" w:color="auto"/>
              <w:left w:val="single" w:sz="4" w:space="0" w:color="auto"/>
              <w:bottom w:val="single" w:sz="4" w:space="0" w:color="auto"/>
              <w:right w:val="nil"/>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Total Package 2</w:t>
            </w:r>
          </w:p>
        </w:tc>
        <w:tc>
          <w:tcPr>
            <w:tcW w:w="968" w:type="dxa"/>
            <w:tcBorders>
              <w:top w:val="single" w:sz="4" w:space="0" w:color="auto"/>
              <w:left w:val="nil"/>
              <w:bottom w:val="single" w:sz="4" w:space="0" w:color="auto"/>
              <w:right w:val="nil"/>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1,591</w:t>
            </w:r>
          </w:p>
        </w:tc>
        <w:tc>
          <w:tcPr>
            <w:tcW w:w="968" w:type="dxa"/>
            <w:tcBorders>
              <w:top w:val="single" w:sz="4" w:space="0" w:color="auto"/>
              <w:left w:val="nil"/>
              <w:bottom w:val="single" w:sz="4" w:space="0" w:color="auto"/>
              <w:right w:val="nil"/>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429</w:t>
            </w:r>
          </w:p>
        </w:tc>
        <w:tc>
          <w:tcPr>
            <w:tcW w:w="968" w:type="dxa"/>
            <w:tcBorders>
              <w:top w:val="single" w:sz="4" w:space="0" w:color="auto"/>
              <w:left w:val="nil"/>
              <w:bottom w:val="single" w:sz="4" w:space="0" w:color="auto"/>
              <w:right w:val="nil"/>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215</w:t>
            </w:r>
          </w:p>
        </w:tc>
        <w:tc>
          <w:tcPr>
            <w:tcW w:w="968" w:type="dxa"/>
            <w:tcBorders>
              <w:top w:val="single" w:sz="4" w:space="0" w:color="auto"/>
              <w:left w:val="nil"/>
              <w:bottom w:val="single" w:sz="4" w:space="0" w:color="auto"/>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2,235</w:t>
            </w:r>
          </w:p>
        </w:tc>
      </w:tr>
    </w:tbl>
    <w:p w:rsidR="00185C71" w:rsidRPr="00185C71" w:rsidRDefault="00185C71" w:rsidP="00362979">
      <w:pPr>
        <w:rPr>
          <w:lang w:eastAsia="en-GB"/>
        </w:rPr>
      </w:pPr>
    </w:p>
    <w:p w:rsidR="00313056" w:rsidRDefault="00DC4C25" w:rsidP="00362979">
      <w:pPr>
        <w:pStyle w:val="Heading2"/>
      </w:pPr>
      <w:r>
        <w:t xml:space="preserve">Wheeled </w:t>
      </w:r>
      <w:r w:rsidR="00313056">
        <w:t>Energy</w:t>
      </w:r>
      <w:r>
        <w:t xml:space="preserve"> &amp; Bulk Supply</w:t>
      </w:r>
    </w:p>
    <w:p w:rsidR="00313056" w:rsidRDefault="00454B7E" w:rsidP="00362979">
      <w:pPr>
        <w:pStyle w:val="Style1"/>
      </w:pPr>
      <w:r>
        <w:fldChar w:fldCharType="begin"/>
      </w:r>
      <w:r>
        <w:instrText xml:space="preserve"> REF _Ref382291085 \h </w:instrText>
      </w:r>
      <w:r>
        <w:fldChar w:fldCharType="separate"/>
      </w:r>
      <w:r w:rsidR="00AC1203">
        <w:t xml:space="preserve">Table </w:t>
      </w:r>
      <w:r w:rsidR="00AC1203">
        <w:rPr>
          <w:noProof/>
        </w:rPr>
        <w:t>2</w:t>
      </w:r>
      <w:r>
        <w:fldChar w:fldCharType="end"/>
      </w:r>
      <w:r w:rsidR="00524836">
        <w:t xml:space="preserve"> </w:t>
      </w:r>
      <w:r w:rsidR="00AC1203">
        <w:t xml:space="preserve">below shows the estimated energy wheeled and bulk supply for each group of investments. </w:t>
      </w:r>
    </w:p>
    <w:p w:rsidR="00AC1203" w:rsidRDefault="00AC1203" w:rsidP="00362979">
      <w:pPr>
        <w:pStyle w:val="Caption"/>
      </w:pPr>
      <w:bookmarkStart w:id="1" w:name="_Ref382291085"/>
      <w:r>
        <w:t xml:space="preserve">Table </w:t>
      </w:r>
      <w:fldSimple w:instr=" SEQ Table \* ARABIC ">
        <w:r w:rsidR="003C056D">
          <w:rPr>
            <w:noProof/>
          </w:rPr>
          <w:t>2</w:t>
        </w:r>
      </w:fldSimple>
      <w:bookmarkEnd w:id="1"/>
      <w:r>
        <w:t>: Wheeled Energy &amp; Bulk Supply</w:t>
      </w:r>
    </w:p>
    <w:tbl>
      <w:tblPr>
        <w:tblW w:w="8851" w:type="dxa"/>
        <w:tblLook w:val="04A0"/>
      </w:tblPr>
      <w:tblGrid>
        <w:gridCol w:w="2028"/>
        <w:gridCol w:w="1390"/>
        <w:gridCol w:w="968"/>
        <w:gridCol w:w="968"/>
        <w:gridCol w:w="968"/>
        <w:gridCol w:w="968"/>
        <w:gridCol w:w="968"/>
        <w:gridCol w:w="968"/>
      </w:tblGrid>
      <w:tr w:rsidR="00185C71" w:rsidRPr="00185C71" w:rsidTr="00185C71">
        <w:trPr>
          <w:trHeight w:val="300"/>
        </w:trPr>
        <w:tc>
          <w:tcPr>
            <w:tcW w:w="2028" w:type="dxa"/>
            <w:tcBorders>
              <w:top w:val="single" w:sz="4" w:space="0" w:color="auto"/>
              <w:left w:val="single" w:sz="4" w:space="0" w:color="auto"/>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 </w:t>
            </w:r>
          </w:p>
        </w:tc>
        <w:tc>
          <w:tcPr>
            <w:tcW w:w="1015" w:type="dxa"/>
            <w:tcBorders>
              <w:top w:val="single" w:sz="4" w:space="0" w:color="auto"/>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Investment Groups &gt;</w:t>
            </w:r>
          </w:p>
        </w:tc>
        <w:tc>
          <w:tcPr>
            <w:tcW w:w="968" w:type="dxa"/>
            <w:tcBorders>
              <w:top w:val="single" w:sz="4" w:space="0" w:color="auto"/>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1</w:t>
            </w:r>
          </w:p>
        </w:tc>
        <w:tc>
          <w:tcPr>
            <w:tcW w:w="968" w:type="dxa"/>
            <w:tcBorders>
              <w:top w:val="single" w:sz="4" w:space="0" w:color="auto"/>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2</w:t>
            </w:r>
          </w:p>
        </w:tc>
        <w:tc>
          <w:tcPr>
            <w:tcW w:w="968" w:type="dxa"/>
            <w:tcBorders>
              <w:top w:val="single" w:sz="4" w:space="0" w:color="auto"/>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3</w:t>
            </w:r>
          </w:p>
        </w:tc>
        <w:tc>
          <w:tcPr>
            <w:tcW w:w="968" w:type="dxa"/>
            <w:tcBorders>
              <w:top w:val="single" w:sz="4" w:space="0" w:color="auto"/>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4</w:t>
            </w:r>
          </w:p>
        </w:tc>
        <w:tc>
          <w:tcPr>
            <w:tcW w:w="968" w:type="dxa"/>
            <w:tcBorders>
              <w:top w:val="single" w:sz="4" w:space="0" w:color="auto"/>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w:t>
            </w:r>
          </w:p>
        </w:tc>
        <w:tc>
          <w:tcPr>
            <w:tcW w:w="968" w:type="dxa"/>
            <w:tcBorders>
              <w:top w:val="single" w:sz="4" w:space="0" w:color="auto"/>
              <w:left w:val="nil"/>
              <w:bottom w:val="single" w:sz="4" w:space="0" w:color="auto"/>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Total</w:t>
            </w:r>
          </w:p>
        </w:tc>
      </w:tr>
      <w:tr w:rsidR="00185C71" w:rsidRPr="00185C71" w:rsidTr="00185C71">
        <w:trPr>
          <w:trHeight w:val="300"/>
        </w:trPr>
        <w:tc>
          <w:tcPr>
            <w:tcW w:w="3043" w:type="dxa"/>
            <w:gridSpan w:val="2"/>
            <w:tcBorders>
              <w:top w:val="nil"/>
              <w:left w:val="single" w:sz="4" w:space="0" w:color="auto"/>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Wheeling capacity (MW)</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902</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1,633</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387</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533</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280</w:t>
            </w:r>
          </w:p>
        </w:tc>
        <w:tc>
          <w:tcPr>
            <w:tcW w:w="968" w:type="dxa"/>
            <w:tcBorders>
              <w:top w:val="nil"/>
              <w:left w:val="nil"/>
              <w:bottom w:val="nil"/>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3,734</w:t>
            </w:r>
          </w:p>
        </w:tc>
      </w:tr>
      <w:tr w:rsidR="00185C71" w:rsidRPr="00185C71" w:rsidTr="00185C71">
        <w:trPr>
          <w:trHeight w:val="300"/>
        </w:trPr>
        <w:tc>
          <w:tcPr>
            <w:tcW w:w="2028" w:type="dxa"/>
            <w:tcBorders>
              <w:top w:val="nil"/>
              <w:left w:val="single" w:sz="4" w:space="0" w:color="auto"/>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Load factor</w:t>
            </w:r>
          </w:p>
        </w:tc>
        <w:tc>
          <w:tcPr>
            <w:tcW w:w="1015"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0.70</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0.70</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0.70</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0.70</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0.70</w:t>
            </w:r>
          </w:p>
        </w:tc>
        <w:tc>
          <w:tcPr>
            <w:tcW w:w="968" w:type="dxa"/>
            <w:tcBorders>
              <w:top w:val="nil"/>
              <w:left w:val="nil"/>
              <w:bottom w:val="nil"/>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 </w:t>
            </w:r>
          </w:p>
        </w:tc>
      </w:tr>
      <w:tr w:rsidR="00185C71" w:rsidRPr="00185C71" w:rsidTr="00185C71">
        <w:trPr>
          <w:trHeight w:val="300"/>
        </w:trPr>
        <w:tc>
          <w:tcPr>
            <w:tcW w:w="3043" w:type="dxa"/>
            <w:gridSpan w:val="2"/>
            <w:tcBorders>
              <w:top w:val="nil"/>
              <w:left w:val="single" w:sz="4" w:space="0" w:color="auto"/>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Wheeled energy (GWh)</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5,529</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10,011</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2,375</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3,267</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1,715</w:t>
            </w:r>
          </w:p>
        </w:tc>
        <w:tc>
          <w:tcPr>
            <w:tcW w:w="968" w:type="dxa"/>
            <w:tcBorders>
              <w:top w:val="nil"/>
              <w:left w:val="nil"/>
              <w:bottom w:val="nil"/>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22,897</w:t>
            </w:r>
          </w:p>
        </w:tc>
      </w:tr>
      <w:tr w:rsidR="00185C71" w:rsidRPr="00185C71" w:rsidTr="00185C71">
        <w:trPr>
          <w:trHeight w:val="300"/>
        </w:trPr>
        <w:tc>
          <w:tcPr>
            <w:tcW w:w="2028" w:type="dxa"/>
            <w:tcBorders>
              <w:top w:val="nil"/>
              <w:left w:val="single" w:sz="4" w:space="0" w:color="auto"/>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Transmission losses</w:t>
            </w:r>
          </w:p>
        </w:tc>
        <w:tc>
          <w:tcPr>
            <w:tcW w:w="1015"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5.0%</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5.0%</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5.0%</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5.0%</w:t>
            </w:r>
          </w:p>
        </w:tc>
        <w:tc>
          <w:tcPr>
            <w:tcW w:w="968" w:type="dxa"/>
            <w:tcBorders>
              <w:top w:val="nil"/>
              <w:left w:val="nil"/>
              <w:bottom w:val="nil"/>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5.0%</w:t>
            </w:r>
          </w:p>
        </w:tc>
        <w:tc>
          <w:tcPr>
            <w:tcW w:w="968" w:type="dxa"/>
            <w:tcBorders>
              <w:top w:val="nil"/>
              <w:left w:val="nil"/>
              <w:bottom w:val="nil"/>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 </w:t>
            </w:r>
          </w:p>
        </w:tc>
      </w:tr>
      <w:tr w:rsidR="00185C71" w:rsidRPr="00185C71" w:rsidTr="00185C71">
        <w:trPr>
          <w:trHeight w:val="300"/>
        </w:trPr>
        <w:tc>
          <w:tcPr>
            <w:tcW w:w="3043" w:type="dxa"/>
            <w:gridSpan w:val="2"/>
            <w:tcBorders>
              <w:top w:val="nil"/>
              <w:left w:val="single" w:sz="4" w:space="0" w:color="auto"/>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Bulk supply to DisCos (GWh)</w:t>
            </w:r>
          </w:p>
        </w:tc>
        <w:tc>
          <w:tcPr>
            <w:tcW w:w="968" w:type="dxa"/>
            <w:tcBorders>
              <w:top w:val="nil"/>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5,253</w:t>
            </w:r>
          </w:p>
        </w:tc>
        <w:tc>
          <w:tcPr>
            <w:tcW w:w="968" w:type="dxa"/>
            <w:tcBorders>
              <w:top w:val="nil"/>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9,510</w:t>
            </w:r>
          </w:p>
        </w:tc>
        <w:tc>
          <w:tcPr>
            <w:tcW w:w="968" w:type="dxa"/>
            <w:tcBorders>
              <w:top w:val="nil"/>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2,256</w:t>
            </w:r>
          </w:p>
        </w:tc>
        <w:tc>
          <w:tcPr>
            <w:tcW w:w="968" w:type="dxa"/>
            <w:tcBorders>
              <w:top w:val="nil"/>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3,104</w:t>
            </w:r>
          </w:p>
        </w:tc>
        <w:tc>
          <w:tcPr>
            <w:tcW w:w="968" w:type="dxa"/>
            <w:tcBorders>
              <w:top w:val="nil"/>
              <w:left w:val="nil"/>
              <w:bottom w:val="single" w:sz="4" w:space="0" w:color="auto"/>
              <w:right w:val="nil"/>
            </w:tcBorders>
            <w:shd w:val="clear" w:color="auto" w:fill="auto"/>
            <w:noWrap/>
            <w:vAlign w:val="bottom"/>
            <w:hideMark/>
          </w:tcPr>
          <w:p w:rsidR="00185C71" w:rsidRPr="00185C71" w:rsidRDefault="00185C71" w:rsidP="00362979">
            <w:pPr>
              <w:rPr>
                <w:rFonts w:eastAsia="Times New Roman"/>
                <w:lang w:eastAsia="en-GB"/>
              </w:rPr>
            </w:pPr>
            <w:r w:rsidRPr="00185C71">
              <w:rPr>
                <w:rFonts w:eastAsia="Times New Roman"/>
                <w:lang w:eastAsia="en-GB"/>
              </w:rPr>
              <w:t>1,629</w:t>
            </w:r>
          </w:p>
        </w:tc>
        <w:tc>
          <w:tcPr>
            <w:tcW w:w="968" w:type="dxa"/>
            <w:tcBorders>
              <w:top w:val="nil"/>
              <w:left w:val="nil"/>
              <w:bottom w:val="single" w:sz="4" w:space="0" w:color="auto"/>
              <w:right w:val="single" w:sz="4" w:space="0" w:color="auto"/>
            </w:tcBorders>
            <w:shd w:val="clear" w:color="000000" w:fill="D9D9D9"/>
            <w:noWrap/>
            <w:vAlign w:val="bottom"/>
            <w:hideMark/>
          </w:tcPr>
          <w:p w:rsidR="00185C71" w:rsidRPr="00185C71" w:rsidRDefault="00185C71" w:rsidP="00362979">
            <w:pPr>
              <w:rPr>
                <w:rFonts w:eastAsia="Times New Roman"/>
                <w:lang w:eastAsia="en-GB"/>
              </w:rPr>
            </w:pPr>
            <w:r w:rsidRPr="00185C71">
              <w:rPr>
                <w:rFonts w:eastAsia="Times New Roman"/>
                <w:lang w:eastAsia="en-GB"/>
              </w:rPr>
              <w:t>21,752</w:t>
            </w:r>
          </w:p>
        </w:tc>
      </w:tr>
    </w:tbl>
    <w:p w:rsidR="00185C71" w:rsidRPr="00185C71" w:rsidRDefault="00185C71" w:rsidP="00362979"/>
    <w:p w:rsidR="00DC4C25" w:rsidRDefault="00AC1203" w:rsidP="00362979">
      <w:pPr>
        <w:pStyle w:val="Style1"/>
      </w:pPr>
      <w:r>
        <w:t>It is assumed that no gas constraints will apply as from 2018 and that e</w:t>
      </w:r>
      <w:r>
        <w:rPr>
          <w:rFonts w:hint="eastAsia"/>
          <w:lang w:bidi="he-IL"/>
        </w:rPr>
        <w:t xml:space="preserve">lectricity demand in each project </w:t>
      </w:r>
      <w:r>
        <w:rPr>
          <w:lang w:bidi="he-IL"/>
        </w:rPr>
        <w:t xml:space="preserve">group </w:t>
      </w:r>
      <w:r>
        <w:rPr>
          <w:rFonts w:hint="eastAsia"/>
          <w:lang w:bidi="he-IL"/>
        </w:rPr>
        <w:t xml:space="preserve">area </w:t>
      </w:r>
      <w:r>
        <w:rPr>
          <w:lang w:bidi="he-IL"/>
        </w:rPr>
        <w:t xml:space="preserve">will be </w:t>
      </w:r>
      <w:r>
        <w:rPr>
          <w:rFonts w:hint="eastAsia"/>
          <w:lang w:bidi="he-IL"/>
        </w:rPr>
        <w:t>high enough to ut</w:t>
      </w:r>
      <w:r>
        <w:rPr>
          <w:lang w:bidi="he-IL"/>
        </w:rPr>
        <w:t>i</w:t>
      </w:r>
      <w:r>
        <w:rPr>
          <w:rFonts w:hint="eastAsia"/>
          <w:lang w:bidi="he-IL"/>
        </w:rPr>
        <w:t>li</w:t>
      </w:r>
      <w:r>
        <w:rPr>
          <w:lang w:bidi="he-IL"/>
        </w:rPr>
        <w:t>z</w:t>
      </w:r>
      <w:r>
        <w:rPr>
          <w:rFonts w:hint="eastAsia"/>
          <w:lang w:bidi="he-IL"/>
        </w:rPr>
        <w:t xml:space="preserve">e </w:t>
      </w:r>
      <w:r>
        <w:rPr>
          <w:lang w:bidi="he-IL"/>
        </w:rPr>
        <w:t xml:space="preserve">in full the added wheeling capacity of each </w:t>
      </w:r>
      <w:r w:rsidR="00FB4A7E">
        <w:rPr>
          <w:lang w:bidi="he-IL"/>
        </w:rPr>
        <w:t xml:space="preserve">project </w:t>
      </w:r>
      <w:r>
        <w:rPr>
          <w:lang w:bidi="he-IL"/>
        </w:rPr>
        <w:t>group from the first year of operation (i.e. 2018 onwards).</w:t>
      </w:r>
    </w:p>
    <w:p w:rsidR="00AF261C" w:rsidRDefault="00AF261C" w:rsidP="00362979">
      <w:pPr>
        <w:pStyle w:val="Heading2"/>
      </w:pPr>
      <w:r>
        <w:t>Tariffs &amp; Revenues</w:t>
      </w:r>
    </w:p>
    <w:p w:rsidR="00194644" w:rsidRPr="00194644" w:rsidRDefault="00AC1203" w:rsidP="00362979">
      <w:pPr>
        <w:pStyle w:val="Style1"/>
      </w:pPr>
      <w:r w:rsidRPr="00194644">
        <w:t>The following two alternative tariff scenarios for TSP have been considered in estimating revenues:</w:t>
      </w:r>
    </w:p>
    <w:p w:rsidR="00AC1203" w:rsidRDefault="007412A3" w:rsidP="00362979">
      <w:pPr>
        <w:pStyle w:val="bulletstyle"/>
      </w:pPr>
      <w:r>
        <w:t>MYTO II tariffs</w:t>
      </w:r>
    </w:p>
    <w:p w:rsidR="007412A3" w:rsidRDefault="007412A3" w:rsidP="00362979">
      <w:pPr>
        <w:pStyle w:val="bulletstyle"/>
      </w:pPr>
      <w:r>
        <w:lastRenderedPageBreak/>
        <w:t xml:space="preserve">Fully cost reflective </w:t>
      </w:r>
      <w:r w:rsidR="006C70C5">
        <w:t>tariffs</w:t>
      </w:r>
    </w:p>
    <w:p w:rsidR="00AF261C" w:rsidRDefault="007412A3" w:rsidP="00362979">
      <w:pPr>
        <w:pStyle w:val="Style1"/>
      </w:pPr>
      <w:r w:rsidRPr="007412A3">
        <w:t>MYTO II tariffs</w:t>
      </w:r>
      <w:r w:rsidR="006C70C5">
        <w:t xml:space="preserve"> </w:t>
      </w:r>
      <w:r w:rsidRPr="007412A3">
        <w:t xml:space="preserve">apply until May 2017 as per existing NERC Order. </w:t>
      </w:r>
      <w:r w:rsidR="006C70C5">
        <w:t xml:space="preserve">These tariffs have been adjusted by removing assumed price escalations. </w:t>
      </w:r>
      <w:r w:rsidRPr="007412A3">
        <w:t>Thereafter, tariffs are assumed to increase annually by 1% in real terms</w:t>
      </w:r>
      <w:r>
        <w:t xml:space="preserve">.  </w:t>
      </w:r>
      <w:r w:rsidRPr="007412A3">
        <w:t>Fully cost reflective tariffs, which have been estimated to 2018, reflect in full the amounts needed to adequately maintain and operate the network and to grow the infrastructure in step with rapid expansion of generation and load.  The resulting tariffs are significantly higher than existing MYTO tariffs. Tariffs from 2019 onwards are assumed to increase annually by 1% in real terms</w:t>
      </w:r>
      <w:r>
        <w:t>.</w:t>
      </w:r>
    </w:p>
    <w:p w:rsidR="00290525" w:rsidRDefault="00290525" w:rsidP="00362979">
      <w:pPr>
        <w:pStyle w:val="Style1"/>
      </w:pPr>
      <w:r>
        <w:t xml:space="preserve">The average tariffs in 2018 </w:t>
      </w:r>
      <w:r w:rsidR="00CF4FB7">
        <w:t xml:space="preserve">(in 2013 prices) under the two tariff scenarios are indicated in </w:t>
      </w:r>
      <w:r w:rsidR="00454B7E">
        <w:fldChar w:fldCharType="begin"/>
      </w:r>
      <w:r w:rsidR="00454B7E">
        <w:instrText xml:space="preserve"> REF _Ref382296490 \h </w:instrText>
      </w:r>
      <w:r w:rsidR="00454B7E">
        <w:fldChar w:fldCharType="separate"/>
      </w:r>
      <w:r w:rsidR="00CF4FB7">
        <w:t xml:space="preserve">Table </w:t>
      </w:r>
      <w:r w:rsidR="00CF4FB7">
        <w:rPr>
          <w:noProof/>
        </w:rPr>
        <w:t>3</w:t>
      </w:r>
      <w:r w:rsidR="00454B7E">
        <w:fldChar w:fldCharType="end"/>
      </w:r>
      <w:r w:rsidR="00CF4FB7">
        <w:t xml:space="preserve"> below.</w:t>
      </w:r>
    </w:p>
    <w:p w:rsidR="00666C81" w:rsidRDefault="00290525" w:rsidP="00362979">
      <w:pPr>
        <w:pStyle w:val="Caption"/>
      </w:pPr>
      <w:bookmarkStart w:id="2" w:name="_Ref382296490"/>
      <w:r>
        <w:t xml:space="preserve">Table </w:t>
      </w:r>
      <w:fldSimple w:instr=" SEQ Table \* ARABIC ">
        <w:r w:rsidR="003C056D">
          <w:rPr>
            <w:noProof/>
          </w:rPr>
          <w:t>3</w:t>
        </w:r>
      </w:fldSimple>
      <w:bookmarkEnd w:id="2"/>
      <w:r>
        <w:t xml:space="preserve">: Average TSP Tariffs in 2018 (in 2013 prices) </w:t>
      </w:r>
    </w:p>
    <w:tbl>
      <w:tblPr>
        <w:tblW w:w="5220" w:type="dxa"/>
        <w:jc w:val="center"/>
        <w:tblLook w:val="04A0"/>
      </w:tblPr>
      <w:tblGrid>
        <w:gridCol w:w="2020"/>
        <w:gridCol w:w="960"/>
        <w:gridCol w:w="1376"/>
        <w:gridCol w:w="1310"/>
      </w:tblGrid>
      <w:tr w:rsidR="00DA26E0" w:rsidRPr="00DA26E0" w:rsidTr="00DA26E0">
        <w:trPr>
          <w:trHeight w:val="300"/>
          <w:jc w:val="center"/>
        </w:trPr>
        <w:tc>
          <w:tcPr>
            <w:tcW w:w="2020" w:type="dxa"/>
            <w:tcBorders>
              <w:top w:val="single" w:sz="4" w:space="0" w:color="auto"/>
              <w:left w:val="single" w:sz="4" w:space="0" w:color="auto"/>
              <w:bottom w:val="nil"/>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In 2013 prices</w:t>
            </w:r>
          </w:p>
        </w:tc>
        <w:tc>
          <w:tcPr>
            <w:tcW w:w="960" w:type="dxa"/>
            <w:tcBorders>
              <w:top w:val="single" w:sz="4" w:space="0" w:color="auto"/>
              <w:left w:val="nil"/>
              <w:bottom w:val="nil"/>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 </w:t>
            </w:r>
          </w:p>
        </w:tc>
        <w:tc>
          <w:tcPr>
            <w:tcW w:w="1120" w:type="dxa"/>
            <w:tcBorders>
              <w:top w:val="single" w:sz="4" w:space="0" w:color="auto"/>
              <w:left w:val="nil"/>
              <w:bottom w:val="nil"/>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NGN/MWh</w:t>
            </w:r>
          </w:p>
        </w:tc>
        <w:tc>
          <w:tcPr>
            <w:tcW w:w="1120" w:type="dxa"/>
            <w:tcBorders>
              <w:top w:val="single" w:sz="4" w:space="0" w:color="auto"/>
              <w:left w:val="nil"/>
              <w:bottom w:val="nil"/>
              <w:right w:val="single" w:sz="4" w:space="0" w:color="auto"/>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US$/MWh</w:t>
            </w:r>
          </w:p>
        </w:tc>
      </w:tr>
      <w:tr w:rsidR="00DA26E0" w:rsidRPr="00DA26E0" w:rsidTr="00DA26E0">
        <w:trPr>
          <w:trHeight w:val="300"/>
          <w:jc w:val="center"/>
        </w:trPr>
        <w:tc>
          <w:tcPr>
            <w:tcW w:w="2020" w:type="dxa"/>
            <w:tcBorders>
              <w:top w:val="nil"/>
              <w:left w:val="single" w:sz="4" w:space="0" w:color="auto"/>
              <w:bottom w:val="nil"/>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MYTO II</w:t>
            </w:r>
          </w:p>
        </w:tc>
        <w:tc>
          <w:tcPr>
            <w:tcW w:w="960" w:type="dxa"/>
            <w:tcBorders>
              <w:top w:val="nil"/>
              <w:left w:val="nil"/>
              <w:bottom w:val="nil"/>
              <w:right w:val="nil"/>
            </w:tcBorders>
            <w:shd w:val="clear" w:color="auto" w:fill="auto"/>
            <w:noWrap/>
            <w:vAlign w:val="bottom"/>
            <w:hideMark/>
          </w:tcPr>
          <w:p w:rsidR="00DA26E0" w:rsidRPr="00DA26E0" w:rsidRDefault="00DA26E0" w:rsidP="00362979">
            <w:pPr>
              <w:rPr>
                <w:rFonts w:eastAsia="Times New Roman"/>
                <w:lang w:eastAsia="en-GB"/>
              </w:rPr>
            </w:pPr>
          </w:p>
        </w:tc>
        <w:tc>
          <w:tcPr>
            <w:tcW w:w="1120" w:type="dxa"/>
            <w:tcBorders>
              <w:top w:val="nil"/>
              <w:left w:val="nil"/>
              <w:bottom w:val="nil"/>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1,144</w:t>
            </w:r>
          </w:p>
        </w:tc>
        <w:tc>
          <w:tcPr>
            <w:tcW w:w="1120" w:type="dxa"/>
            <w:tcBorders>
              <w:top w:val="nil"/>
              <w:left w:val="nil"/>
              <w:bottom w:val="nil"/>
              <w:right w:val="single" w:sz="4" w:space="0" w:color="auto"/>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7.372</w:t>
            </w:r>
          </w:p>
        </w:tc>
      </w:tr>
      <w:tr w:rsidR="00DA26E0" w:rsidRPr="00DA26E0" w:rsidTr="00DA26E0">
        <w:trPr>
          <w:trHeight w:val="300"/>
          <w:jc w:val="center"/>
        </w:trPr>
        <w:tc>
          <w:tcPr>
            <w:tcW w:w="2020" w:type="dxa"/>
            <w:tcBorders>
              <w:top w:val="nil"/>
              <w:left w:val="single" w:sz="4" w:space="0" w:color="auto"/>
              <w:bottom w:val="nil"/>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Fully cost reflective</w:t>
            </w:r>
          </w:p>
        </w:tc>
        <w:tc>
          <w:tcPr>
            <w:tcW w:w="960" w:type="dxa"/>
            <w:tcBorders>
              <w:top w:val="nil"/>
              <w:left w:val="nil"/>
              <w:bottom w:val="nil"/>
              <w:right w:val="nil"/>
            </w:tcBorders>
            <w:shd w:val="clear" w:color="auto" w:fill="auto"/>
            <w:noWrap/>
            <w:vAlign w:val="bottom"/>
            <w:hideMark/>
          </w:tcPr>
          <w:p w:rsidR="00DA26E0" w:rsidRPr="00DA26E0" w:rsidRDefault="00DA26E0" w:rsidP="00362979">
            <w:pPr>
              <w:rPr>
                <w:rFonts w:eastAsia="Times New Roman"/>
                <w:lang w:eastAsia="en-GB"/>
              </w:rPr>
            </w:pPr>
          </w:p>
        </w:tc>
        <w:tc>
          <w:tcPr>
            <w:tcW w:w="1120" w:type="dxa"/>
            <w:tcBorders>
              <w:top w:val="nil"/>
              <w:left w:val="nil"/>
              <w:bottom w:val="nil"/>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3,690</w:t>
            </w:r>
          </w:p>
        </w:tc>
        <w:tc>
          <w:tcPr>
            <w:tcW w:w="1120" w:type="dxa"/>
            <w:tcBorders>
              <w:top w:val="nil"/>
              <w:left w:val="nil"/>
              <w:bottom w:val="nil"/>
              <w:right w:val="single" w:sz="4" w:space="0" w:color="auto"/>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23.774</w:t>
            </w:r>
          </w:p>
        </w:tc>
      </w:tr>
      <w:tr w:rsidR="00DA26E0" w:rsidRPr="00DA26E0" w:rsidTr="00DA26E0">
        <w:trPr>
          <w:trHeight w:val="300"/>
          <w:jc w:val="center"/>
        </w:trPr>
        <w:tc>
          <w:tcPr>
            <w:tcW w:w="2020" w:type="dxa"/>
            <w:tcBorders>
              <w:top w:val="nil"/>
              <w:left w:val="single" w:sz="4" w:space="0" w:color="auto"/>
              <w:bottom w:val="single" w:sz="4" w:space="0" w:color="auto"/>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Gap</w:t>
            </w:r>
          </w:p>
        </w:tc>
        <w:tc>
          <w:tcPr>
            <w:tcW w:w="960" w:type="dxa"/>
            <w:tcBorders>
              <w:top w:val="nil"/>
              <w:left w:val="nil"/>
              <w:bottom w:val="single" w:sz="4" w:space="0" w:color="auto"/>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 </w:t>
            </w:r>
          </w:p>
        </w:tc>
        <w:tc>
          <w:tcPr>
            <w:tcW w:w="1120" w:type="dxa"/>
            <w:tcBorders>
              <w:top w:val="nil"/>
              <w:left w:val="nil"/>
              <w:bottom w:val="single" w:sz="4" w:space="0" w:color="auto"/>
              <w:right w:val="nil"/>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223%</w:t>
            </w:r>
          </w:p>
        </w:tc>
        <w:tc>
          <w:tcPr>
            <w:tcW w:w="1120" w:type="dxa"/>
            <w:tcBorders>
              <w:top w:val="nil"/>
              <w:left w:val="nil"/>
              <w:bottom w:val="single" w:sz="4" w:space="0" w:color="auto"/>
              <w:right w:val="single" w:sz="4" w:space="0" w:color="auto"/>
            </w:tcBorders>
            <w:shd w:val="clear" w:color="auto" w:fill="auto"/>
            <w:noWrap/>
            <w:vAlign w:val="bottom"/>
            <w:hideMark/>
          </w:tcPr>
          <w:p w:rsidR="00DA26E0" w:rsidRPr="00DA26E0" w:rsidRDefault="00DA26E0" w:rsidP="00362979">
            <w:pPr>
              <w:rPr>
                <w:rFonts w:eastAsia="Times New Roman"/>
                <w:lang w:eastAsia="en-GB"/>
              </w:rPr>
            </w:pPr>
            <w:r w:rsidRPr="00DA26E0">
              <w:rPr>
                <w:rFonts w:eastAsia="Times New Roman"/>
                <w:lang w:eastAsia="en-GB"/>
              </w:rPr>
              <w:t>223%</w:t>
            </w:r>
          </w:p>
        </w:tc>
      </w:tr>
    </w:tbl>
    <w:p w:rsidR="008327E4" w:rsidRDefault="008327E4" w:rsidP="00362979">
      <w:pPr>
        <w:pStyle w:val="Style1"/>
      </w:pPr>
      <w:r>
        <w:t>It is assumed that TSP will collect 100% of its billings from 2018 onwards when the projects are commissioned.</w:t>
      </w:r>
    </w:p>
    <w:p w:rsidR="00904957" w:rsidRPr="00194644" w:rsidRDefault="00904957" w:rsidP="00362979">
      <w:pPr>
        <w:pStyle w:val="Heading2"/>
      </w:pPr>
      <w:r w:rsidRPr="00194644">
        <w:t>O&amp;M Costs</w:t>
      </w:r>
      <w:r w:rsidR="008327E4" w:rsidRPr="00194644">
        <w:t xml:space="preserve"> and Corporate Income Tax</w:t>
      </w:r>
    </w:p>
    <w:p w:rsidR="008327E4" w:rsidRDefault="008327E4" w:rsidP="00362979">
      <w:pPr>
        <w:pStyle w:val="Style1"/>
      </w:pPr>
      <w:r>
        <w:t>Operations and maintenance costs for each project group is estimated at 1% of the applicable capital investment costs.</w:t>
      </w:r>
    </w:p>
    <w:p w:rsidR="00904957" w:rsidRPr="00904957" w:rsidRDefault="008327E4" w:rsidP="00362979">
      <w:pPr>
        <w:pStyle w:val="Style1"/>
      </w:pPr>
      <w:r>
        <w:t>The</w:t>
      </w:r>
      <w:r w:rsidRPr="008327E4">
        <w:rPr>
          <w:rFonts w:hAnsi="Constantia"/>
          <w:color w:val="000000" w:themeColor="text1"/>
          <w:kern w:val="24"/>
          <w:sz w:val="52"/>
          <w:szCs w:val="52"/>
        </w:rPr>
        <w:t xml:space="preserve"> </w:t>
      </w:r>
      <w:r w:rsidRPr="008327E4">
        <w:t xml:space="preserve">Corporate income tax – 32% (including 2% education tax). Investment allowance of 10% per annum (i.e. for 10 years). </w:t>
      </w:r>
      <w:r w:rsidR="00EC2EBD">
        <w:t xml:space="preserve"> </w:t>
      </w:r>
      <w:r w:rsidRPr="008327E4">
        <w:t>Accumulated tax losses carried-forward for set-off against future taxable profits (it is assumed that the company as a whole will generate profits in the future)</w:t>
      </w:r>
      <w:r>
        <w:t xml:space="preserve"> </w:t>
      </w:r>
    </w:p>
    <w:p w:rsidR="00904957" w:rsidRDefault="00904957" w:rsidP="00362979">
      <w:pPr>
        <w:pStyle w:val="Heading2"/>
      </w:pPr>
      <w:r>
        <w:t>Results</w:t>
      </w:r>
      <w:r w:rsidR="00CF4FB7">
        <w:t xml:space="preserve"> of Project Financial Analysis</w:t>
      </w:r>
    </w:p>
    <w:p w:rsidR="00904957" w:rsidRDefault="00454B7E" w:rsidP="00362979">
      <w:pPr>
        <w:pStyle w:val="Style1"/>
      </w:pPr>
      <w:r>
        <w:fldChar w:fldCharType="begin"/>
      </w:r>
      <w:r>
        <w:instrText xml:space="preserve"> REF _Ref382296873 \h </w:instrText>
      </w:r>
      <w:r>
        <w:fldChar w:fldCharType="separate"/>
      </w:r>
      <w:r w:rsidR="00CF4FB7">
        <w:t xml:space="preserve">Table </w:t>
      </w:r>
      <w:r w:rsidR="00CF4FB7">
        <w:rPr>
          <w:noProof/>
        </w:rPr>
        <w:t>4</w:t>
      </w:r>
      <w:r>
        <w:fldChar w:fldCharType="end"/>
      </w:r>
      <w:r w:rsidR="00CF4FB7">
        <w:t xml:space="preserve"> below shows the results of the financial analysis for each </w:t>
      </w:r>
      <w:r w:rsidR="00851BCC">
        <w:t xml:space="preserve">project </w:t>
      </w:r>
      <w:r w:rsidR="00CF4FB7">
        <w:t xml:space="preserve">group and all </w:t>
      </w:r>
      <w:r w:rsidR="00851BCC">
        <w:t xml:space="preserve">project </w:t>
      </w:r>
      <w:r w:rsidR="00CF4FB7">
        <w:t xml:space="preserve">groups combined under the two tariff scenarios </w:t>
      </w:r>
      <w:r w:rsidR="00851BCC">
        <w:t>described above.</w:t>
      </w:r>
    </w:p>
    <w:p w:rsidR="00CF4FB7" w:rsidRDefault="00CF4FB7" w:rsidP="00362979">
      <w:pPr>
        <w:pStyle w:val="Caption"/>
      </w:pPr>
      <w:bookmarkStart w:id="3" w:name="_Ref382296873"/>
      <w:r>
        <w:t xml:space="preserve">Table </w:t>
      </w:r>
      <w:fldSimple w:instr=" SEQ Table \* ARABIC ">
        <w:r w:rsidR="003C056D">
          <w:rPr>
            <w:noProof/>
          </w:rPr>
          <w:t>4</w:t>
        </w:r>
      </w:fldSimple>
      <w:bookmarkEnd w:id="3"/>
      <w:r>
        <w:t>: Results of Project Financial Analysis</w:t>
      </w:r>
    </w:p>
    <w:p w:rsidR="00923569" w:rsidRPr="00923569" w:rsidRDefault="00923569" w:rsidP="00362979">
      <w:r w:rsidRPr="00923569">
        <w:rPr>
          <w:noProof/>
          <w:lang w:val="en-US"/>
        </w:rPr>
        <w:lastRenderedPageBreak/>
        <w:drawing>
          <wp:inline distT="0" distB="0" distL="0" distR="0">
            <wp:extent cx="5731510" cy="172202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1510" cy="1722023"/>
                    </a:xfrm>
                    <a:prstGeom prst="rect">
                      <a:avLst/>
                    </a:prstGeom>
                    <a:noFill/>
                    <a:ln>
                      <a:noFill/>
                    </a:ln>
                  </pic:spPr>
                </pic:pic>
              </a:graphicData>
            </a:graphic>
          </wp:inline>
        </w:drawing>
      </w:r>
    </w:p>
    <w:p w:rsidR="00851BCC" w:rsidRPr="00194644" w:rsidRDefault="00851BCC" w:rsidP="00362979">
      <w:pPr>
        <w:pStyle w:val="Style1"/>
      </w:pPr>
      <w:r w:rsidRPr="00194644">
        <w:t>Each group is considered to be financially viable if its Financial Internal Rate of Return (FIRR) is equal to or greater than the Weighted Average Cost of Capital (WACC), estimated at 7.49% (real after tax as per NERC estimates for MYTO tariff evaluation).</w:t>
      </w:r>
    </w:p>
    <w:p w:rsidR="00CF4FB7" w:rsidRPr="00851BCC" w:rsidRDefault="00851BCC" w:rsidP="00362979">
      <w:pPr>
        <w:pStyle w:val="Style1"/>
      </w:pPr>
      <w:r>
        <w:t xml:space="preserve">Results if </w:t>
      </w:r>
      <w:r w:rsidRPr="00851BCC">
        <w:t>MYTO II tariffs</w:t>
      </w:r>
      <w:r>
        <w:t xml:space="preserve"> applied</w:t>
      </w:r>
      <w:r w:rsidRPr="00851BCC">
        <w:t xml:space="preserve"> - Only investment Group 2 meets </w:t>
      </w:r>
      <w:r>
        <w:t>the minimum FIRR criteria of 7.49</w:t>
      </w:r>
      <w:r w:rsidRPr="00851BCC">
        <w:t xml:space="preserve">%. In descending order of financial performance, Group 2 is followed by Group 1, Group 3, Group 4 and lastly Group 5. </w:t>
      </w:r>
      <w:r w:rsidR="00EC2EBD">
        <w:t xml:space="preserve"> </w:t>
      </w:r>
      <w:r w:rsidRPr="00851BCC">
        <w:t xml:space="preserve">The only positive FNPV </w:t>
      </w:r>
      <w:r w:rsidR="00662E73">
        <w:t xml:space="preserve">and benefits/cost ratio exceeding 1.0 times </w:t>
      </w:r>
      <w:r w:rsidRPr="00851BCC">
        <w:t>applies to Group 2. These results clearly indicate that 4 out 5 Groups of investments will not be financially viable if MYTO tariffs applied. All Groups combined also do not meet the minimum FIRR</w:t>
      </w:r>
      <w:r>
        <w:t>.</w:t>
      </w:r>
    </w:p>
    <w:p w:rsidR="00851BCC" w:rsidRPr="00851BCC" w:rsidRDefault="00851BCC" w:rsidP="00362979">
      <w:pPr>
        <w:pStyle w:val="Style1"/>
      </w:pPr>
      <w:r>
        <w:t>Results if f</w:t>
      </w:r>
      <w:r w:rsidRPr="00851BCC">
        <w:t xml:space="preserve">ully cost reflective tariffs </w:t>
      </w:r>
      <w:r>
        <w:t xml:space="preserve">applied – Under these conditions, the collected revenues </w:t>
      </w:r>
      <w:r w:rsidRPr="00851BCC">
        <w:t>will provide the required positive financial results for all Groups except marginally for Group 5</w:t>
      </w:r>
      <w:r>
        <w:t>.</w:t>
      </w:r>
    </w:p>
    <w:p w:rsidR="00851BCC" w:rsidRDefault="00851BCC" w:rsidP="00362979">
      <w:pPr>
        <w:pStyle w:val="Style1"/>
      </w:pPr>
      <w:r>
        <w:t xml:space="preserve">The </w:t>
      </w:r>
      <w:r w:rsidR="00662E73">
        <w:t xml:space="preserve">above </w:t>
      </w:r>
      <w:r>
        <w:t xml:space="preserve">results </w:t>
      </w:r>
      <w:r w:rsidR="00662E73">
        <w:t>illustrate the need for an urgent review and revision of tariffs that will make the proposed transmission projects financially attractive to prospective donors and investors.</w:t>
      </w:r>
    </w:p>
    <w:p w:rsidR="00662E73" w:rsidRDefault="002B637C" w:rsidP="00362979">
      <w:pPr>
        <w:pStyle w:val="Style1"/>
      </w:pPr>
      <w:r w:rsidRPr="00662E73">
        <w:t xml:space="preserve">Apart from the increase in wheeling capacity and reduced transmission losses, which have been assessed above, in terms of their financial benefits, there are other benefits resulting from the investments which cannot be easily assessed in financial terms. </w:t>
      </w:r>
      <w:r w:rsidR="00EC2EBD">
        <w:t xml:space="preserve"> </w:t>
      </w:r>
      <w:r w:rsidRPr="00662E73">
        <w:t xml:space="preserve">Such benefits include improvements in system reliability and </w:t>
      </w:r>
      <w:r w:rsidR="00662E73">
        <w:t xml:space="preserve">stabilization of </w:t>
      </w:r>
      <w:r w:rsidRPr="00662E73">
        <w:t>system voltage</w:t>
      </w:r>
      <w:r w:rsidR="00662E73">
        <w:t>.</w:t>
      </w:r>
    </w:p>
    <w:p w:rsidR="00DD698E" w:rsidRDefault="00904957" w:rsidP="00362979">
      <w:pPr>
        <w:pStyle w:val="Heading2"/>
      </w:pPr>
      <w:r>
        <w:t>Sensitivities</w:t>
      </w:r>
    </w:p>
    <w:p w:rsidR="008327E4" w:rsidRPr="003C056D" w:rsidRDefault="00454B7E" w:rsidP="00362979">
      <w:pPr>
        <w:pStyle w:val="Style1"/>
      </w:pPr>
      <w:r>
        <w:fldChar w:fldCharType="begin"/>
      </w:r>
      <w:r>
        <w:instrText xml:space="preserve"> REF _Ref382298466 \h </w:instrText>
      </w:r>
      <w:r>
        <w:fldChar w:fldCharType="separate"/>
      </w:r>
      <w:r w:rsidR="003C056D">
        <w:t xml:space="preserve">Table </w:t>
      </w:r>
      <w:r w:rsidR="003C056D">
        <w:rPr>
          <w:noProof/>
        </w:rPr>
        <w:t>5</w:t>
      </w:r>
      <w:r>
        <w:fldChar w:fldCharType="end"/>
      </w:r>
      <w:r w:rsidR="003C056D" w:rsidRPr="003C056D">
        <w:t xml:space="preserve"> below shows the results in terms of FIRR of sensitivities applied to the Base Case assumptions for Project Costs and Revenues detailed above. With MYTO II tariffs, Group 2 meets the minimum criteria in all cases</w:t>
      </w:r>
      <w:r w:rsidR="00923569">
        <w:t xml:space="preserve"> </w:t>
      </w:r>
      <w:r w:rsidR="00923569" w:rsidRPr="00923569">
        <w:t>(except for marginally lower FIRR of 7.3% with +20% project costs)</w:t>
      </w:r>
      <w:r w:rsidR="003C056D" w:rsidRPr="003C056D">
        <w:t xml:space="preserve">, indicating the robustness of this </w:t>
      </w:r>
      <w:r w:rsidR="003C056D">
        <w:t xml:space="preserve">particular </w:t>
      </w:r>
      <w:r w:rsidR="003C056D" w:rsidRPr="003C056D">
        <w:t>group of investments</w:t>
      </w:r>
      <w:r w:rsidR="003C056D">
        <w:t>.</w:t>
      </w:r>
    </w:p>
    <w:p w:rsidR="003C056D" w:rsidRPr="003C056D" w:rsidRDefault="003C056D" w:rsidP="00362979">
      <w:pPr>
        <w:pStyle w:val="Caption"/>
      </w:pPr>
      <w:bookmarkStart w:id="4" w:name="_Ref382298466"/>
      <w:r>
        <w:lastRenderedPageBreak/>
        <w:t xml:space="preserve">Table </w:t>
      </w:r>
      <w:fldSimple w:instr=" SEQ Table \* ARABIC ">
        <w:r>
          <w:rPr>
            <w:noProof/>
          </w:rPr>
          <w:t>5</w:t>
        </w:r>
      </w:fldSimple>
      <w:bookmarkEnd w:id="4"/>
      <w:r>
        <w:t>: Results of Sensitivities</w:t>
      </w:r>
    </w:p>
    <w:p w:rsidR="00923569" w:rsidRDefault="00923569" w:rsidP="00362979">
      <w:r w:rsidRPr="00923569">
        <w:rPr>
          <w:noProof/>
          <w:lang w:val="en-US"/>
        </w:rPr>
        <w:drawing>
          <wp:inline distT="0" distB="0" distL="0" distR="0">
            <wp:extent cx="6210300" cy="2276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11793" cy="2277022"/>
                    </a:xfrm>
                    <a:prstGeom prst="rect">
                      <a:avLst/>
                    </a:prstGeom>
                    <a:noFill/>
                    <a:ln>
                      <a:noFill/>
                    </a:ln>
                  </pic:spPr>
                </pic:pic>
              </a:graphicData>
            </a:graphic>
          </wp:inline>
        </w:drawing>
      </w:r>
    </w:p>
    <w:p w:rsidR="003C056D" w:rsidRPr="008327E4" w:rsidRDefault="00EC2EBD" w:rsidP="00362979">
      <w:pPr>
        <w:pStyle w:val="Style1"/>
      </w:pPr>
      <w:r>
        <w:t>Variations in project costs have a direct impact on O&amp;M costs as these estimates are linked. The sensitivity results relating t</w:t>
      </w:r>
      <w:bookmarkStart w:id="5" w:name="_GoBack"/>
      <w:bookmarkEnd w:id="5"/>
      <w:r>
        <w:t>o project costs reflects this linkage.</w:t>
      </w:r>
    </w:p>
    <w:sectPr w:rsidR="003C056D" w:rsidRPr="008327E4" w:rsidSect="00B35CB8">
      <w:footerReference w:type="default" r:id="rId10"/>
      <w:pgSz w:w="11906" w:h="16838"/>
      <w:pgMar w:top="1440" w:right="1440" w:bottom="1440" w:left="1440" w:header="708" w:footer="708" w:gutter="0"/>
      <w:pgNumType w:start="1"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517" w:rsidRDefault="00594517" w:rsidP="00362979">
      <w:r>
        <w:separator/>
      </w:r>
    </w:p>
  </w:endnote>
  <w:endnote w:type="continuationSeparator" w:id="0">
    <w:p w:rsidR="00594517" w:rsidRDefault="00594517" w:rsidP="003629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699804"/>
      <w:docPartObj>
        <w:docPartGallery w:val="Page Numbers (Bottom of Page)"/>
        <w:docPartUnique/>
      </w:docPartObj>
    </w:sdtPr>
    <w:sdtEndPr>
      <w:rPr>
        <w:noProof/>
      </w:rPr>
    </w:sdtEndPr>
    <w:sdtContent>
      <w:p w:rsidR="00AC1203" w:rsidRDefault="00454B7E" w:rsidP="00362979">
        <w:pPr>
          <w:pStyle w:val="Footer"/>
        </w:pPr>
        <w:r>
          <w:fldChar w:fldCharType="begin"/>
        </w:r>
        <w:r w:rsidR="00AC1203">
          <w:instrText xml:space="preserve"> PAGE   \* MERGEFORMAT </w:instrText>
        </w:r>
        <w:r>
          <w:fldChar w:fldCharType="separate"/>
        </w:r>
        <w:r w:rsidR="00362979">
          <w:rPr>
            <w:noProof/>
          </w:rPr>
          <w:t>1</w:t>
        </w:r>
        <w:r>
          <w:rPr>
            <w:noProof/>
          </w:rPr>
          <w:fldChar w:fldCharType="end"/>
        </w:r>
        <w:r w:rsidR="00362979">
          <w:rPr>
            <w:noProof/>
          </w:rPr>
          <w:tab/>
        </w:r>
        <w:r w:rsidR="00362979">
          <w:rPr>
            <w:noProof/>
          </w:rPr>
          <w:tab/>
        </w:r>
        <w:r w:rsidR="00362979" w:rsidRPr="00362979">
          <w:rPr>
            <w:noProof/>
          </w:rPr>
          <w:drawing>
            <wp:inline distT="0" distB="0" distL="0" distR="0">
              <wp:extent cx="685800" cy="123825"/>
              <wp:effectExtent l="19050" t="0" r="0" b="0"/>
              <wp:docPr id="4" name="Picture 2" descr="nexant_rev (blue 3-4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ant_rev (blue 3-4in)"/>
                      <pic:cNvPicPr>
                        <a:picLocks noChangeAspect="1" noChangeArrowheads="1"/>
                      </pic:cNvPicPr>
                    </pic:nvPicPr>
                    <pic:blipFill>
                      <a:blip r:embed="rId1"/>
                      <a:srcRect/>
                      <a:stretch>
                        <a:fillRect/>
                      </a:stretch>
                    </pic:blipFill>
                    <pic:spPr bwMode="auto">
                      <a:xfrm>
                        <a:off x="0" y="0"/>
                        <a:ext cx="685800" cy="123825"/>
                      </a:xfrm>
                      <a:prstGeom prst="rect">
                        <a:avLst/>
                      </a:prstGeom>
                      <a:noFill/>
                      <a:ln w="9525">
                        <a:noFill/>
                        <a:miter lim="800000"/>
                        <a:headEnd/>
                        <a:tailEnd/>
                      </a:ln>
                    </pic:spPr>
                  </pic:pic>
                </a:graphicData>
              </a:graphic>
            </wp:inline>
          </w:drawing>
        </w:r>
      </w:p>
    </w:sdtContent>
  </w:sdt>
  <w:p w:rsidR="00AC1203" w:rsidRDefault="00AC1203" w:rsidP="003629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517" w:rsidRDefault="00594517" w:rsidP="00362979">
      <w:r>
        <w:separator/>
      </w:r>
    </w:p>
  </w:footnote>
  <w:footnote w:type="continuationSeparator" w:id="0">
    <w:p w:rsidR="00594517" w:rsidRDefault="00594517" w:rsidP="003629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D4CB4"/>
    <w:multiLevelType w:val="hybridMultilevel"/>
    <w:tmpl w:val="C686C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8E4274"/>
    <w:multiLevelType w:val="hybridMultilevel"/>
    <w:tmpl w:val="06287FD2"/>
    <w:lvl w:ilvl="0" w:tplc="10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4595B8A"/>
    <w:multiLevelType w:val="hybridMultilevel"/>
    <w:tmpl w:val="7AD26F60"/>
    <w:lvl w:ilvl="0" w:tplc="A032289E">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D91858"/>
    <w:multiLevelType w:val="hybridMultilevel"/>
    <w:tmpl w:val="2FDEC49C"/>
    <w:lvl w:ilvl="0" w:tplc="3FC0F544">
      <w:start w:val="1"/>
      <w:numFmt w:val="bullet"/>
      <w:lvlText w:val=""/>
      <w:lvlJc w:val="left"/>
      <w:pPr>
        <w:tabs>
          <w:tab w:val="num" w:pos="720"/>
        </w:tabs>
        <w:ind w:left="720" w:hanging="360"/>
      </w:pPr>
      <w:rPr>
        <w:rFonts w:ascii="Wingdings 2" w:hAnsi="Wingdings 2" w:hint="default"/>
      </w:rPr>
    </w:lvl>
    <w:lvl w:ilvl="1" w:tplc="E6D07F82" w:tentative="1">
      <w:start w:val="1"/>
      <w:numFmt w:val="bullet"/>
      <w:lvlText w:val=""/>
      <w:lvlJc w:val="left"/>
      <w:pPr>
        <w:tabs>
          <w:tab w:val="num" w:pos="1440"/>
        </w:tabs>
        <w:ind w:left="1440" w:hanging="360"/>
      </w:pPr>
      <w:rPr>
        <w:rFonts w:ascii="Wingdings 2" w:hAnsi="Wingdings 2" w:hint="default"/>
      </w:rPr>
    </w:lvl>
    <w:lvl w:ilvl="2" w:tplc="4726D998" w:tentative="1">
      <w:start w:val="1"/>
      <w:numFmt w:val="bullet"/>
      <w:lvlText w:val=""/>
      <w:lvlJc w:val="left"/>
      <w:pPr>
        <w:tabs>
          <w:tab w:val="num" w:pos="2160"/>
        </w:tabs>
        <w:ind w:left="2160" w:hanging="360"/>
      </w:pPr>
      <w:rPr>
        <w:rFonts w:ascii="Wingdings 2" w:hAnsi="Wingdings 2" w:hint="default"/>
      </w:rPr>
    </w:lvl>
    <w:lvl w:ilvl="3" w:tplc="5B960DEE" w:tentative="1">
      <w:start w:val="1"/>
      <w:numFmt w:val="bullet"/>
      <w:lvlText w:val=""/>
      <w:lvlJc w:val="left"/>
      <w:pPr>
        <w:tabs>
          <w:tab w:val="num" w:pos="2880"/>
        </w:tabs>
        <w:ind w:left="2880" w:hanging="360"/>
      </w:pPr>
      <w:rPr>
        <w:rFonts w:ascii="Wingdings 2" w:hAnsi="Wingdings 2" w:hint="default"/>
      </w:rPr>
    </w:lvl>
    <w:lvl w:ilvl="4" w:tplc="DBC6FC84" w:tentative="1">
      <w:start w:val="1"/>
      <w:numFmt w:val="bullet"/>
      <w:lvlText w:val=""/>
      <w:lvlJc w:val="left"/>
      <w:pPr>
        <w:tabs>
          <w:tab w:val="num" w:pos="3600"/>
        </w:tabs>
        <w:ind w:left="3600" w:hanging="360"/>
      </w:pPr>
      <w:rPr>
        <w:rFonts w:ascii="Wingdings 2" w:hAnsi="Wingdings 2" w:hint="default"/>
      </w:rPr>
    </w:lvl>
    <w:lvl w:ilvl="5" w:tplc="002E1D88" w:tentative="1">
      <w:start w:val="1"/>
      <w:numFmt w:val="bullet"/>
      <w:lvlText w:val=""/>
      <w:lvlJc w:val="left"/>
      <w:pPr>
        <w:tabs>
          <w:tab w:val="num" w:pos="4320"/>
        </w:tabs>
        <w:ind w:left="4320" w:hanging="360"/>
      </w:pPr>
      <w:rPr>
        <w:rFonts w:ascii="Wingdings 2" w:hAnsi="Wingdings 2" w:hint="default"/>
      </w:rPr>
    </w:lvl>
    <w:lvl w:ilvl="6" w:tplc="6D6EA9E2" w:tentative="1">
      <w:start w:val="1"/>
      <w:numFmt w:val="bullet"/>
      <w:lvlText w:val=""/>
      <w:lvlJc w:val="left"/>
      <w:pPr>
        <w:tabs>
          <w:tab w:val="num" w:pos="5040"/>
        </w:tabs>
        <w:ind w:left="5040" w:hanging="360"/>
      </w:pPr>
      <w:rPr>
        <w:rFonts w:ascii="Wingdings 2" w:hAnsi="Wingdings 2" w:hint="default"/>
      </w:rPr>
    </w:lvl>
    <w:lvl w:ilvl="7" w:tplc="C68C79FA" w:tentative="1">
      <w:start w:val="1"/>
      <w:numFmt w:val="bullet"/>
      <w:lvlText w:val=""/>
      <w:lvlJc w:val="left"/>
      <w:pPr>
        <w:tabs>
          <w:tab w:val="num" w:pos="5760"/>
        </w:tabs>
        <w:ind w:left="5760" w:hanging="360"/>
      </w:pPr>
      <w:rPr>
        <w:rFonts w:ascii="Wingdings 2" w:hAnsi="Wingdings 2" w:hint="default"/>
      </w:rPr>
    </w:lvl>
    <w:lvl w:ilvl="8" w:tplc="EBB2B384" w:tentative="1">
      <w:start w:val="1"/>
      <w:numFmt w:val="bullet"/>
      <w:lvlText w:val=""/>
      <w:lvlJc w:val="left"/>
      <w:pPr>
        <w:tabs>
          <w:tab w:val="num" w:pos="6480"/>
        </w:tabs>
        <w:ind w:left="6480" w:hanging="360"/>
      </w:pPr>
      <w:rPr>
        <w:rFonts w:ascii="Wingdings 2" w:hAnsi="Wingdings 2" w:hint="default"/>
      </w:rPr>
    </w:lvl>
  </w:abstractNum>
  <w:abstractNum w:abstractNumId="4">
    <w:nsid w:val="18F6430A"/>
    <w:multiLevelType w:val="hybridMultilevel"/>
    <w:tmpl w:val="10D62C9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B565C5D"/>
    <w:multiLevelType w:val="hybridMultilevel"/>
    <w:tmpl w:val="62CCAAB8"/>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nsid w:val="21F60D25"/>
    <w:multiLevelType w:val="hybridMultilevel"/>
    <w:tmpl w:val="C9A07C6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A21EE1"/>
    <w:multiLevelType w:val="hybridMultilevel"/>
    <w:tmpl w:val="C6BA5A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DC81768"/>
    <w:multiLevelType w:val="multilevel"/>
    <w:tmpl w:val="A12A34F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30BB36BF"/>
    <w:multiLevelType w:val="hybridMultilevel"/>
    <w:tmpl w:val="D1D2DACC"/>
    <w:lvl w:ilvl="0" w:tplc="1C6A68CC">
      <w:start w:val="1"/>
      <w:numFmt w:val="upperLetter"/>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87926AF"/>
    <w:multiLevelType w:val="hybridMultilevel"/>
    <w:tmpl w:val="8DD46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290BC5"/>
    <w:multiLevelType w:val="hybridMultilevel"/>
    <w:tmpl w:val="67CE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432F50"/>
    <w:multiLevelType w:val="hybridMultilevel"/>
    <w:tmpl w:val="813A0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E627B57"/>
    <w:multiLevelType w:val="hybridMultilevel"/>
    <w:tmpl w:val="C6F414FA"/>
    <w:lvl w:ilvl="0" w:tplc="08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53007F8"/>
    <w:multiLevelType w:val="hybridMultilevel"/>
    <w:tmpl w:val="EF3C71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EF06D7F"/>
    <w:multiLevelType w:val="hybridMultilevel"/>
    <w:tmpl w:val="77AA316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F8718DC"/>
    <w:multiLevelType w:val="hybridMultilevel"/>
    <w:tmpl w:val="D228DD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75D18C7"/>
    <w:multiLevelType w:val="hybridMultilevel"/>
    <w:tmpl w:val="23F4C8F8"/>
    <w:lvl w:ilvl="0" w:tplc="832E1A52">
      <w:start w:val="1"/>
      <w:numFmt w:val="bullet"/>
      <w:pStyle w:val="bulletstyle"/>
      <w:lvlText w:val=""/>
      <w:lvlJc w:val="left"/>
      <w:pPr>
        <w:ind w:left="360" w:hanging="360"/>
      </w:pPr>
      <w:rPr>
        <w:rFonts w:ascii="Symbol" w:hAnsi="Symbo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32763EA"/>
    <w:multiLevelType w:val="hybridMultilevel"/>
    <w:tmpl w:val="06D2E3E2"/>
    <w:lvl w:ilvl="0" w:tplc="D63EA3E8">
      <w:start w:val="1"/>
      <w:numFmt w:val="decimal"/>
      <w:pStyle w:val="Style1"/>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9"/>
  </w:num>
  <w:num w:numId="3">
    <w:abstractNumId w:val="9"/>
  </w:num>
  <w:num w:numId="4">
    <w:abstractNumId w:val="2"/>
  </w:num>
  <w:num w:numId="5">
    <w:abstractNumId w:val="18"/>
  </w:num>
  <w:num w:numId="6">
    <w:abstractNumId w:val="2"/>
  </w:num>
  <w:num w:numId="7">
    <w:abstractNumId w:val="2"/>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18"/>
  </w:num>
  <w:num w:numId="15">
    <w:abstractNumId w:val="18"/>
  </w:num>
  <w:num w:numId="16">
    <w:abstractNumId w:val="18"/>
  </w:num>
  <w:num w:numId="17">
    <w:abstractNumId w:val="18"/>
  </w:num>
  <w:num w:numId="18">
    <w:abstractNumId w:val="18"/>
  </w:num>
  <w:num w:numId="19">
    <w:abstractNumId w:val="18"/>
  </w:num>
  <w:num w:numId="20">
    <w:abstractNumId w:val="8"/>
  </w:num>
  <w:num w:numId="21">
    <w:abstractNumId w:val="18"/>
  </w:num>
  <w:num w:numId="22">
    <w:abstractNumId w:val="18"/>
  </w:num>
  <w:num w:numId="23">
    <w:abstractNumId w:val="5"/>
  </w:num>
  <w:num w:numId="24">
    <w:abstractNumId w:val="18"/>
  </w:num>
  <w:num w:numId="25">
    <w:abstractNumId w:val="7"/>
  </w:num>
  <w:num w:numId="26">
    <w:abstractNumId w:val="13"/>
  </w:num>
  <w:num w:numId="27">
    <w:abstractNumId w:val="1"/>
  </w:num>
  <w:num w:numId="28">
    <w:abstractNumId w:val="18"/>
  </w:num>
  <w:num w:numId="29">
    <w:abstractNumId w:val="11"/>
  </w:num>
  <w:num w:numId="30">
    <w:abstractNumId w:val="18"/>
  </w:num>
  <w:num w:numId="31">
    <w:abstractNumId w:val="6"/>
  </w:num>
  <w:num w:numId="32">
    <w:abstractNumId w:val="4"/>
  </w:num>
  <w:num w:numId="33">
    <w:abstractNumId w:val="10"/>
  </w:num>
  <w:num w:numId="34">
    <w:abstractNumId w:val="14"/>
  </w:num>
  <w:num w:numId="35">
    <w:abstractNumId w:val="18"/>
  </w:num>
  <w:num w:numId="36">
    <w:abstractNumId w:val="18"/>
  </w:num>
  <w:num w:numId="37">
    <w:abstractNumId w:val="0"/>
  </w:num>
  <w:num w:numId="38">
    <w:abstractNumId w:val="18"/>
  </w:num>
  <w:num w:numId="39">
    <w:abstractNumId w:val="18"/>
  </w:num>
  <w:num w:numId="40">
    <w:abstractNumId w:val="18"/>
  </w:num>
  <w:num w:numId="41">
    <w:abstractNumId w:val="18"/>
  </w:num>
  <w:num w:numId="42">
    <w:abstractNumId w:val="18"/>
  </w:num>
  <w:num w:numId="43">
    <w:abstractNumId w:val="12"/>
  </w:num>
  <w:num w:numId="44">
    <w:abstractNumId w:val="16"/>
  </w:num>
  <w:num w:numId="45">
    <w:abstractNumId w:val="18"/>
  </w:num>
  <w:num w:numId="46">
    <w:abstractNumId w:val="3"/>
  </w:num>
  <w:num w:numId="4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36"/>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616AAF"/>
    <w:rsid w:val="0000048D"/>
    <w:rsid w:val="000017C3"/>
    <w:rsid w:val="00003C52"/>
    <w:rsid w:val="000068CB"/>
    <w:rsid w:val="0000720C"/>
    <w:rsid w:val="0001139F"/>
    <w:rsid w:val="00012FA9"/>
    <w:rsid w:val="00014C9F"/>
    <w:rsid w:val="00020AE2"/>
    <w:rsid w:val="00021785"/>
    <w:rsid w:val="00022AAA"/>
    <w:rsid w:val="00022D76"/>
    <w:rsid w:val="000244BA"/>
    <w:rsid w:val="0002758E"/>
    <w:rsid w:val="00027D96"/>
    <w:rsid w:val="0003060F"/>
    <w:rsid w:val="00031B58"/>
    <w:rsid w:val="00032CBC"/>
    <w:rsid w:val="00034144"/>
    <w:rsid w:val="0003659A"/>
    <w:rsid w:val="0003682B"/>
    <w:rsid w:val="00036BEF"/>
    <w:rsid w:val="0003733B"/>
    <w:rsid w:val="00037ADD"/>
    <w:rsid w:val="00037BF5"/>
    <w:rsid w:val="00037DCE"/>
    <w:rsid w:val="00040477"/>
    <w:rsid w:val="000404C8"/>
    <w:rsid w:val="00041852"/>
    <w:rsid w:val="00041EB4"/>
    <w:rsid w:val="000430D9"/>
    <w:rsid w:val="00046C9C"/>
    <w:rsid w:val="000477EB"/>
    <w:rsid w:val="00047FC4"/>
    <w:rsid w:val="0005028E"/>
    <w:rsid w:val="00053CDC"/>
    <w:rsid w:val="00054098"/>
    <w:rsid w:val="00055132"/>
    <w:rsid w:val="00056EF6"/>
    <w:rsid w:val="00057F1F"/>
    <w:rsid w:val="000601B4"/>
    <w:rsid w:val="00060388"/>
    <w:rsid w:val="000617BD"/>
    <w:rsid w:val="00062A59"/>
    <w:rsid w:val="00063839"/>
    <w:rsid w:val="000646AB"/>
    <w:rsid w:val="000646B9"/>
    <w:rsid w:val="00066089"/>
    <w:rsid w:val="0007127D"/>
    <w:rsid w:val="000715EA"/>
    <w:rsid w:val="00071A4F"/>
    <w:rsid w:val="0007382D"/>
    <w:rsid w:val="00074FB8"/>
    <w:rsid w:val="00075AB8"/>
    <w:rsid w:val="00077857"/>
    <w:rsid w:val="00077F53"/>
    <w:rsid w:val="00081C93"/>
    <w:rsid w:val="00083131"/>
    <w:rsid w:val="0008345E"/>
    <w:rsid w:val="000835A1"/>
    <w:rsid w:val="000835C8"/>
    <w:rsid w:val="00086A8E"/>
    <w:rsid w:val="0008702A"/>
    <w:rsid w:val="00087371"/>
    <w:rsid w:val="0008751E"/>
    <w:rsid w:val="0009043D"/>
    <w:rsid w:val="00091B24"/>
    <w:rsid w:val="00091D6D"/>
    <w:rsid w:val="0009310B"/>
    <w:rsid w:val="0009453A"/>
    <w:rsid w:val="00094747"/>
    <w:rsid w:val="0009501B"/>
    <w:rsid w:val="00095428"/>
    <w:rsid w:val="00095727"/>
    <w:rsid w:val="00095E9F"/>
    <w:rsid w:val="000A14E5"/>
    <w:rsid w:val="000A26BC"/>
    <w:rsid w:val="000A47B3"/>
    <w:rsid w:val="000A6757"/>
    <w:rsid w:val="000A6AE1"/>
    <w:rsid w:val="000B00E6"/>
    <w:rsid w:val="000B0B31"/>
    <w:rsid w:val="000B26C4"/>
    <w:rsid w:val="000B2A04"/>
    <w:rsid w:val="000B2AEB"/>
    <w:rsid w:val="000B3936"/>
    <w:rsid w:val="000B6B90"/>
    <w:rsid w:val="000B797F"/>
    <w:rsid w:val="000B7AE1"/>
    <w:rsid w:val="000C20AA"/>
    <w:rsid w:val="000C3077"/>
    <w:rsid w:val="000C448C"/>
    <w:rsid w:val="000C4F89"/>
    <w:rsid w:val="000C582E"/>
    <w:rsid w:val="000C5E47"/>
    <w:rsid w:val="000C61F5"/>
    <w:rsid w:val="000C6C20"/>
    <w:rsid w:val="000C729E"/>
    <w:rsid w:val="000C7CDB"/>
    <w:rsid w:val="000D202D"/>
    <w:rsid w:val="000D2369"/>
    <w:rsid w:val="000D295A"/>
    <w:rsid w:val="000D4588"/>
    <w:rsid w:val="000E13DD"/>
    <w:rsid w:val="000E160B"/>
    <w:rsid w:val="000E3343"/>
    <w:rsid w:val="000E4A8A"/>
    <w:rsid w:val="000E57AA"/>
    <w:rsid w:val="000E587B"/>
    <w:rsid w:val="000E710B"/>
    <w:rsid w:val="000E72B4"/>
    <w:rsid w:val="000F3ED5"/>
    <w:rsid w:val="000F4304"/>
    <w:rsid w:val="000F657A"/>
    <w:rsid w:val="0010101F"/>
    <w:rsid w:val="001010E0"/>
    <w:rsid w:val="00101739"/>
    <w:rsid w:val="00102776"/>
    <w:rsid w:val="001053AC"/>
    <w:rsid w:val="00105833"/>
    <w:rsid w:val="00105CDA"/>
    <w:rsid w:val="0010698E"/>
    <w:rsid w:val="00106A3B"/>
    <w:rsid w:val="00110AEA"/>
    <w:rsid w:val="00110BB6"/>
    <w:rsid w:val="00111A77"/>
    <w:rsid w:val="00112E83"/>
    <w:rsid w:val="00113748"/>
    <w:rsid w:val="00113825"/>
    <w:rsid w:val="00113ED1"/>
    <w:rsid w:val="00113FD2"/>
    <w:rsid w:val="00115495"/>
    <w:rsid w:val="001162A8"/>
    <w:rsid w:val="001165AF"/>
    <w:rsid w:val="00116947"/>
    <w:rsid w:val="001179E4"/>
    <w:rsid w:val="00117D97"/>
    <w:rsid w:val="00117DFB"/>
    <w:rsid w:val="00123015"/>
    <w:rsid w:val="00126EB2"/>
    <w:rsid w:val="00127FC5"/>
    <w:rsid w:val="00131D99"/>
    <w:rsid w:val="00132D85"/>
    <w:rsid w:val="00133535"/>
    <w:rsid w:val="00133900"/>
    <w:rsid w:val="00135225"/>
    <w:rsid w:val="00136ED0"/>
    <w:rsid w:val="001378F7"/>
    <w:rsid w:val="00137F40"/>
    <w:rsid w:val="00141D98"/>
    <w:rsid w:val="001422FD"/>
    <w:rsid w:val="00142403"/>
    <w:rsid w:val="001437A1"/>
    <w:rsid w:val="00145E50"/>
    <w:rsid w:val="00146BF1"/>
    <w:rsid w:val="00146FD8"/>
    <w:rsid w:val="0015039D"/>
    <w:rsid w:val="00150A9D"/>
    <w:rsid w:val="0015267F"/>
    <w:rsid w:val="00154FD4"/>
    <w:rsid w:val="00155F0E"/>
    <w:rsid w:val="00156DDD"/>
    <w:rsid w:val="00157BC5"/>
    <w:rsid w:val="00157C50"/>
    <w:rsid w:val="00157D12"/>
    <w:rsid w:val="0016082E"/>
    <w:rsid w:val="00161132"/>
    <w:rsid w:val="001629A2"/>
    <w:rsid w:val="00165FF2"/>
    <w:rsid w:val="00166360"/>
    <w:rsid w:val="00166BE0"/>
    <w:rsid w:val="00167616"/>
    <w:rsid w:val="00170E5E"/>
    <w:rsid w:val="00171762"/>
    <w:rsid w:val="001721C4"/>
    <w:rsid w:val="00172663"/>
    <w:rsid w:val="00173D5B"/>
    <w:rsid w:val="00173F67"/>
    <w:rsid w:val="00173F96"/>
    <w:rsid w:val="0017411B"/>
    <w:rsid w:val="001751FD"/>
    <w:rsid w:val="001777E6"/>
    <w:rsid w:val="00180F1E"/>
    <w:rsid w:val="00182B6C"/>
    <w:rsid w:val="001842CB"/>
    <w:rsid w:val="00185AC7"/>
    <w:rsid w:val="00185C71"/>
    <w:rsid w:val="00185F18"/>
    <w:rsid w:val="00186BEB"/>
    <w:rsid w:val="00186E99"/>
    <w:rsid w:val="0019042D"/>
    <w:rsid w:val="00190F88"/>
    <w:rsid w:val="001941F4"/>
    <w:rsid w:val="00194644"/>
    <w:rsid w:val="00195857"/>
    <w:rsid w:val="00196842"/>
    <w:rsid w:val="001A4B16"/>
    <w:rsid w:val="001A4E06"/>
    <w:rsid w:val="001A4E7E"/>
    <w:rsid w:val="001B1526"/>
    <w:rsid w:val="001B22A1"/>
    <w:rsid w:val="001B3085"/>
    <w:rsid w:val="001B35E2"/>
    <w:rsid w:val="001B3CFA"/>
    <w:rsid w:val="001B44D6"/>
    <w:rsid w:val="001B4D68"/>
    <w:rsid w:val="001B4FFB"/>
    <w:rsid w:val="001B5E89"/>
    <w:rsid w:val="001B603D"/>
    <w:rsid w:val="001B621C"/>
    <w:rsid w:val="001B7230"/>
    <w:rsid w:val="001B7DA3"/>
    <w:rsid w:val="001C1BC7"/>
    <w:rsid w:val="001C2F11"/>
    <w:rsid w:val="001C36D1"/>
    <w:rsid w:val="001C569E"/>
    <w:rsid w:val="001C5A7C"/>
    <w:rsid w:val="001C622B"/>
    <w:rsid w:val="001C7296"/>
    <w:rsid w:val="001D1DB8"/>
    <w:rsid w:val="001D2A1F"/>
    <w:rsid w:val="001D2ACB"/>
    <w:rsid w:val="001D3439"/>
    <w:rsid w:val="001D4A12"/>
    <w:rsid w:val="001D5BEA"/>
    <w:rsid w:val="001E2D30"/>
    <w:rsid w:val="001E46F3"/>
    <w:rsid w:val="001E6F20"/>
    <w:rsid w:val="001F2BCA"/>
    <w:rsid w:val="001F48C2"/>
    <w:rsid w:val="001F5017"/>
    <w:rsid w:val="001F55B8"/>
    <w:rsid w:val="001F5A22"/>
    <w:rsid w:val="001F6F1E"/>
    <w:rsid w:val="001F781F"/>
    <w:rsid w:val="00200B26"/>
    <w:rsid w:val="0020207E"/>
    <w:rsid w:val="00204FCE"/>
    <w:rsid w:val="00210BAA"/>
    <w:rsid w:val="00211E1A"/>
    <w:rsid w:val="00220621"/>
    <w:rsid w:val="00224080"/>
    <w:rsid w:val="002241D0"/>
    <w:rsid w:val="00226252"/>
    <w:rsid w:val="002269C3"/>
    <w:rsid w:val="00227398"/>
    <w:rsid w:val="002274E2"/>
    <w:rsid w:val="002309FF"/>
    <w:rsid w:val="00232656"/>
    <w:rsid w:val="00233599"/>
    <w:rsid w:val="00236B3F"/>
    <w:rsid w:val="00236DC6"/>
    <w:rsid w:val="00237376"/>
    <w:rsid w:val="00240CAC"/>
    <w:rsid w:val="00241EAF"/>
    <w:rsid w:val="00242235"/>
    <w:rsid w:val="0024335D"/>
    <w:rsid w:val="002436B1"/>
    <w:rsid w:val="00250E0A"/>
    <w:rsid w:val="00251401"/>
    <w:rsid w:val="002529AA"/>
    <w:rsid w:val="00252C87"/>
    <w:rsid w:val="002530C1"/>
    <w:rsid w:val="0025380A"/>
    <w:rsid w:val="002548A9"/>
    <w:rsid w:val="00254CDC"/>
    <w:rsid w:val="00256A34"/>
    <w:rsid w:val="0026094F"/>
    <w:rsid w:val="00260D94"/>
    <w:rsid w:val="00261D05"/>
    <w:rsid w:val="00266E83"/>
    <w:rsid w:val="00267697"/>
    <w:rsid w:val="00267E6E"/>
    <w:rsid w:val="00270503"/>
    <w:rsid w:val="0027167C"/>
    <w:rsid w:val="00271A3B"/>
    <w:rsid w:val="00273711"/>
    <w:rsid w:val="00274229"/>
    <w:rsid w:val="0027443A"/>
    <w:rsid w:val="0027510C"/>
    <w:rsid w:val="00275773"/>
    <w:rsid w:val="00277D24"/>
    <w:rsid w:val="002804F3"/>
    <w:rsid w:val="00280EDA"/>
    <w:rsid w:val="00281078"/>
    <w:rsid w:val="00281494"/>
    <w:rsid w:val="002815B0"/>
    <w:rsid w:val="002836AD"/>
    <w:rsid w:val="00283E22"/>
    <w:rsid w:val="002849C7"/>
    <w:rsid w:val="00284A9E"/>
    <w:rsid w:val="0028520C"/>
    <w:rsid w:val="00286329"/>
    <w:rsid w:val="0028683F"/>
    <w:rsid w:val="002877EF"/>
    <w:rsid w:val="00287C53"/>
    <w:rsid w:val="00290525"/>
    <w:rsid w:val="00290C1C"/>
    <w:rsid w:val="00291A2A"/>
    <w:rsid w:val="00291F95"/>
    <w:rsid w:val="00292E0D"/>
    <w:rsid w:val="0029468B"/>
    <w:rsid w:val="00295079"/>
    <w:rsid w:val="00296739"/>
    <w:rsid w:val="0029729B"/>
    <w:rsid w:val="002A1BFA"/>
    <w:rsid w:val="002A27AE"/>
    <w:rsid w:val="002A27B6"/>
    <w:rsid w:val="002A3701"/>
    <w:rsid w:val="002A385A"/>
    <w:rsid w:val="002A3B9D"/>
    <w:rsid w:val="002A43B9"/>
    <w:rsid w:val="002A5371"/>
    <w:rsid w:val="002A5D21"/>
    <w:rsid w:val="002A624A"/>
    <w:rsid w:val="002B0258"/>
    <w:rsid w:val="002B0F6E"/>
    <w:rsid w:val="002B1914"/>
    <w:rsid w:val="002B234B"/>
    <w:rsid w:val="002B2FA3"/>
    <w:rsid w:val="002B37B7"/>
    <w:rsid w:val="002B4779"/>
    <w:rsid w:val="002B6156"/>
    <w:rsid w:val="002B637C"/>
    <w:rsid w:val="002B696F"/>
    <w:rsid w:val="002B6BC9"/>
    <w:rsid w:val="002B745D"/>
    <w:rsid w:val="002C0AFC"/>
    <w:rsid w:val="002C0CD1"/>
    <w:rsid w:val="002C1749"/>
    <w:rsid w:val="002C23B3"/>
    <w:rsid w:val="002C2C49"/>
    <w:rsid w:val="002C2C93"/>
    <w:rsid w:val="002C3258"/>
    <w:rsid w:val="002C34CA"/>
    <w:rsid w:val="002C3531"/>
    <w:rsid w:val="002C4F21"/>
    <w:rsid w:val="002C5A48"/>
    <w:rsid w:val="002C5ADD"/>
    <w:rsid w:val="002C6F1A"/>
    <w:rsid w:val="002C7959"/>
    <w:rsid w:val="002D0611"/>
    <w:rsid w:val="002D092B"/>
    <w:rsid w:val="002D3D48"/>
    <w:rsid w:val="002D4403"/>
    <w:rsid w:val="002D70B9"/>
    <w:rsid w:val="002E1281"/>
    <w:rsid w:val="002E182F"/>
    <w:rsid w:val="002E31A3"/>
    <w:rsid w:val="002E4101"/>
    <w:rsid w:val="002E4F01"/>
    <w:rsid w:val="002E55F5"/>
    <w:rsid w:val="002E72B8"/>
    <w:rsid w:val="002E78A5"/>
    <w:rsid w:val="002F07D1"/>
    <w:rsid w:val="002F10AA"/>
    <w:rsid w:val="002F1A4C"/>
    <w:rsid w:val="002F1C32"/>
    <w:rsid w:val="002F2E14"/>
    <w:rsid w:val="002F391F"/>
    <w:rsid w:val="002F3C0D"/>
    <w:rsid w:val="002F3FE6"/>
    <w:rsid w:val="002F47C6"/>
    <w:rsid w:val="002F528C"/>
    <w:rsid w:val="002F5CFE"/>
    <w:rsid w:val="002F64A1"/>
    <w:rsid w:val="00300CF5"/>
    <w:rsid w:val="003011F0"/>
    <w:rsid w:val="00301D1A"/>
    <w:rsid w:val="0030202B"/>
    <w:rsid w:val="00302F2C"/>
    <w:rsid w:val="003038D8"/>
    <w:rsid w:val="0030473A"/>
    <w:rsid w:val="00311630"/>
    <w:rsid w:val="00311942"/>
    <w:rsid w:val="00313056"/>
    <w:rsid w:val="00313233"/>
    <w:rsid w:val="003148A4"/>
    <w:rsid w:val="00314A9C"/>
    <w:rsid w:val="003157D2"/>
    <w:rsid w:val="00316952"/>
    <w:rsid w:val="00317E87"/>
    <w:rsid w:val="00323E67"/>
    <w:rsid w:val="003276FA"/>
    <w:rsid w:val="00331754"/>
    <w:rsid w:val="00331976"/>
    <w:rsid w:val="00331FEE"/>
    <w:rsid w:val="00332C60"/>
    <w:rsid w:val="003334B6"/>
    <w:rsid w:val="003336C0"/>
    <w:rsid w:val="00333EBC"/>
    <w:rsid w:val="00334112"/>
    <w:rsid w:val="00335AFC"/>
    <w:rsid w:val="00336304"/>
    <w:rsid w:val="00340BF2"/>
    <w:rsid w:val="00341874"/>
    <w:rsid w:val="00342E92"/>
    <w:rsid w:val="003457FB"/>
    <w:rsid w:val="00347A14"/>
    <w:rsid w:val="00350651"/>
    <w:rsid w:val="00352855"/>
    <w:rsid w:val="00352A15"/>
    <w:rsid w:val="0035327F"/>
    <w:rsid w:val="00354E7F"/>
    <w:rsid w:val="00356002"/>
    <w:rsid w:val="00356249"/>
    <w:rsid w:val="00356EEE"/>
    <w:rsid w:val="0035739A"/>
    <w:rsid w:val="00360930"/>
    <w:rsid w:val="00362979"/>
    <w:rsid w:val="0036421D"/>
    <w:rsid w:val="00364D0A"/>
    <w:rsid w:val="003650DD"/>
    <w:rsid w:val="003659AF"/>
    <w:rsid w:val="003670AD"/>
    <w:rsid w:val="00370A3B"/>
    <w:rsid w:val="0037129A"/>
    <w:rsid w:val="00376CF9"/>
    <w:rsid w:val="0038545C"/>
    <w:rsid w:val="00386898"/>
    <w:rsid w:val="00390271"/>
    <w:rsid w:val="00392201"/>
    <w:rsid w:val="0039229F"/>
    <w:rsid w:val="00392703"/>
    <w:rsid w:val="00393422"/>
    <w:rsid w:val="00394179"/>
    <w:rsid w:val="00394AE9"/>
    <w:rsid w:val="003964ED"/>
    <w:rsid w:val="003A0476"/>
    <w:rsid w:val="003A05B1"/>
    <w:rsid w:val="003A0B95"/>
    <w:rsid w:val="003A2C03"/>
    <w:rsid w:val="003A5C01"/>
    <w:rsid w:val="003A6A8D"/>
    <w:rsid w:val="003A6EC7"/>
    <w:rsid w:val="003A7849"/>
    <w:rsid w:val="003A7C61"/>
    <w:rsid w:val="003B094C"/>
    <w:rsid w:val="003B176B"/>
    <w:rsid w:val="003B23E0"/>
    <w:rsid w:val="003B3565"/>
    <w:rsid w:val="003B3FE0"/>
    <w:rsid w:val="003B4F80"/>
    <w:rsid w:val="003B64C7"/>
    <w:rsid w:val="003B6B84"/>
    <w:rsid w:val="003C056D"/>
    <w:rsid w:val="003C0925"/>
    <w:rsid w:val="003C0F42"/>
    <w:rsid w:val="003C1568"/>
    <w:rsid w:val="003C2781"/>
    <w:rsid w:val="003C2B1F"/>
    <w:rsid w:val="003C2CDB"/>
    <w:rsid w:val="003C59FC"/>
    <w:rsid w:val="003C6145"/>
    <w:rsid w:val="003C64D1"/>
    <w:rsid w:val="003D1D92"/>
    <w:rsid w:val="003D2910"/>
    <w:rsid w:val="003D2B75"/>
    <w:rsid w:val="003D30D1"/>
    <w:rsid w:val="003D321D"/>
    <w:rsid w:val="003D35B0"/>
    <w:rsid w:val="003D47A6"/>
    <w:rsid w:val="003D4CEB"/>
    <w:rsid w:val="003D5F92"/>
    <w:rsid w:val="003D670C"/>
    <w:rsid w:val="003E0787"/>
    <w:rsid w:val="003E1228"/>
    <w:rsid w:val="003E2386"/>
    <w:rsid w:val="003E670B"/>
    <w:rsid w:val="003E6E0C"/>
    <w:rsid w:val="003F1292"/>
    <w:rsid w:val="003F2A89"/>
    <w:rsid w:val="003F2AB8"/>
    <w:rsid w:val="003F2F9F"/>
    <w:rsid w:val="003F5E8E"/>
    <w:rsid w:val="003F64F8"/>
    <w:rsid w:val="00400CE8"/>
    <w:rsid w:val="004032F7"/>
    <w:rsid w:val="004046AA"/>
    <w:rsid w:val="0040572B"/>
    <w:rsid w:val="00407018"/>
    <w:rsid w:val="00410A1C"/>
    <w:rsid w:val="0041389F"/>
    <w:rsid w:val="004154D0"/>
    <w:rsid w:val="00421897"/>
    <w:rsid w:val="00421E1A"/>
    <w:rsid w:val="0042529F"/>
    <w:rsid w:val="004256CD"/>
    <w:rsid w:val="00426829"/>
    <w:rsid w:val="00427B68"/>
    <w:rsid w:val="00430A35"/>
    <w:rsid w:val="00431455"/>
    <w:rsid w:val="00432FEA"/>
    <w:rsid w:val="0043400F"/>
    <w:rsid w:val="0043474F"/>
    <w:rsid w:val="00435A05"/>
    <w:rsid w:val="004372D5"/>
    <w:rsid w:val="004377FD"/>
    <w:rsid w:val="00437D70"/>
    <w:rsid w:val="00441C11"/>
    <w:rsid w:val="00442544"/>
    <w:rsid w:val="0044365E"/>
    <w:rsid w:val="00443CB4"/>
    <w:rsid w:val="0044469E"/>
    <w:rsid w:val="00444C27"/>
    <w:rsid w:val="00444FE6"/>
    <w:rsid w:val="0045062B"/>
    <w:rsid w:val="00451E86"/>
    <w:rsid w:val="004529E7"/>
    <w:rsid w:val="004531BF"/>
    <w:rsid w:val="00453FEF"/>
    <w:rsid w:val="00454B7E"/>
    <w:rsid w:val="004550C9"/>
    <w:rsid w:val="00456167"/>
    <w:rsid w:val="00457D7F"/>
    <w:rsid w:val="00460CBA"/>
    <w:rsid w:val="004614E1"/>
    <w:rsid w:val="004625F1"/>
    <w:rsid w:val="00462B93"/>
    <w:rsid w:val="0046490A"/>
    <w:rsid w:val="0047203A"/>
    <w:rsid w:val="0047209F"/>
    <w:rsid w:val="00473FC2"/>
    <w:rsid w:val="0047436E"/>
    <w:rsid w:val="00474D19"/>
    <w:rsid w:val="00475405"/>
    <w:rsid w:val="00475A34"/>
    <w:rsid w:val="00475ADF"/>
    <w:rsid w:val="00475E1E"/>
    <w:rsid w:val="00477266"/>
    <w:rsid w:val="00477EEF"/>
    <w:rsid w:val="00481486"/>
    <w:rsid w:val="00481A73"/>
    <w:rsid w:val="00482D20"/>
    <w:rsid w:val="004875D1"/>
    <w:rsid w:val="00490FFA"/>
    <w:rsid w:val="00492C3E"/>
    <w:rsid w:val="004941DD"/>
    <w:rsid w:val="004947F7"/>
    <w:rsid w:val="00496F35"/>
    <w:rsid w:val="004A070C"/>
    <w:rsid w:val="004A0C61"/>
    <w:rsid w:val="004A1138"/>
    <w:rsid w:val="004A3263"/>
    <w:rsid w:val="004A4465"/>
    <w:rsid w:val="004A48F5"/>
    <w:rsid w:val="004A4B7A"/>
    <w:rsid w:val="004A539E"/>
    <w:rsid w:val="004A5CC9"/>
    <w:rsid w:val="004A64B4"/>
    <w:rsid w:val="004A6F44"/>
    <w:rsid w:val="004A79F0"/>
    <w:rsid w:val="004B4661"/>
    <w:rsid w:val="004B5B99"/>
    <w:rsid w:val="004B5CE6"/>
    <w:rsid w:val="004B651E"/>
    <w:rsid w:val="004C051F"/>
    <w:rsid w:val="004C1703"/>
    <w:rsid w:val="004C3F37"/>
    <w:rsid w:val="004C451B"/>
    <w:rsid w:val="004D1069"/>
    <w:rsid w:val="004D60D8"/>
    <w:rsid w:val="004D6150"/>
    <w:rsid w:val="004D7757"/>
    <w:rsid w:val="004D7AD4"/>
    <w:rsid w:val="004D7FB8"/>
    <w:rsid w:val="004E1A9C"/>
    <w:rsid w:val="004E415D"/>
    <w:rsid w:val="004E617E"/>
    <w:rsid w:val="004E7C49"/>
    <w:rsid w:val="004F0106"/>
    <w:rsid w:val="004F0377"/>
    <w:rsid w:val="004F102A"/>
    <w:rsid w:val="004F1668"/>
    <w:rsid w:val="004F381A"/>
    <w:rsid w:val="004F4006"/>
    <w:rsid w:val="004F5036"/>
    <w:rsid w:val="004F54DB"/>
    <w:rsid w:val="004F7ADD"/>
    <w:rsid w:val="0050187A"/>
    <w:rsid w:val="005024C6"/>
    <w:rsid w:val="00502623"/>
    <w:rsid w:val="00502F89"/>
    <w:rsid w:val="005037A7"/>
    <w:rsid w:val="0050416E"/>
    <w:rsid w:val="00506744"/>
    <w:rsid w:val="0050687E"/>
    <w:rsid w:val="005078DB"/>
    <w:rsid w:val="00507E02"/>
    <w:rsid w:val="005107C5"/>
    <w:rsid w:val="00510CCC"/>
    <w:rsid w:val="00510FC5"/>
    <w:rsid w:val="0051134D"/>
    <w:rsid w:val="005138DB"/>
    <w:rsid w:val="00513BA8"/>
    <w:rsid w:val="00513FF8"/>
    <w:rsid w:val="0051637D"/>
    <w:rsid w:val="0051770C"/>
    <w:rsid w:val="005203DD"/>
    <w:rsid w:val="00520A5F"/>
    <w:rsid w:val="00524827"/>
    <w:rsid w:val="00524836"/>
    <w:rsid w:val="005250FC"/>
    <w:rsid w:val="00526343"/>
    <w:rsid w:val="00526518"/>
    <w:rsid w:val="00527C0B"/>
    <w:rsid w:val="00531376"/>
    <w:rsid w:val="00531C9C"/>
    <w:rsid w:val="00532544"/>
    <w:rsid w:val="00533817"/>
    <w:rsid w:val="005352FF"/>
    <w:rsid w:val="00540C43"/>
    <w:rsid w:val="00542634"/>
    <w:rsid w:val="00542DC3"/>
    <w:rsid w:val="00543049"/>
    <w:rsid w:val="005455E6"/>
    <w:rsid w:val="00545BCF"/>
    <w:rsid w:val="00561218"/>
    <w:rsid w:val="0056242D"/>
    <w:rsid w:val="00562698"/>
    <w:rsid w:val="00562C6F"/>
    <w:rsid w:val="00566799"/>
    <w:rsid w:val="005673A4"/>
    <w:rsid w:val="00567B9C"/>
    <w:rsid w:val="00567C97"/>
    <w:rsid w:val="00567FDA"/>
    <w:rsid w:val="00570835"/>
    <w:rsid w:val="00571596"/>
    <w:rsid w:val="00571B58"/>
    <w:rsid w:val="00572162"/>
    <w:rsid w:val="00572322"/>
    <w:rsid w:val="0057439A"/>
    <w:rsid w:val="00574AE1"/>
    <w:rsid w:val="00574F43"/>
    <w:rsid w:val="00575DC6"/>
    <w:rsid w:val="00580CD1"/>
    <w:rsid w:val="00581803"/>
    <w:rsid w:val="00581CA7"/>
    <w:rsid w:val="0058601C"/>
    <w:rsid w:val="00590A5C"/>
    <w:rsid w:val="00590E09"/>
    <w:rsid w:val="00592DE3"/>
    <w:rsid w:val="00593FBA"/>
    <w:rsid w:val="00594517"/>
    <w:rsid w:val="00596465"/>
    <w:rsid w:val="005A0A53"/>
    <w:rsid w:val="005B001C"/>
    <w:rsid w:val="005B21FE"/>
    <w:rsid w:val="005B31EF"/>
    <w:rsid w:val="005B3B86"/>
    <w:rsid w:val="005B6AD5"/>
    <w:rsid w:val="005B6B54"/>
    <w:rsid w:val="005C07C7"/>
    <w:rsid w:val="005C1786"/>
    <w:rsid w:val="005C2037"/>
    <w:rsid w:val="005C2467"/>
    <w:rsid w:val="005C2894"/>
    <w:rsid w:val="005C3D76"/>
    <w:rsid w:val="005C5A1D"/>
    <w:rsid w:val="005C67F7"/>
    <w:rsid w:val="005C71C0"/>
    <w:rsid w:val="005D3314"/>
    <w:rsid w:val="005D6C1B"/>
    <w:rsid w:val="005E1419"/>
    <w:rsid w:val="005E3967"/>
    <w:rsid w:val="005E4A90"/>
    <w:rsid w:val="005E4D44"/>
    <w:rsid w:val="005E71A8"/>
    <w:rsid w:val="005E7B2E"/>
    <w:rsid w:val="005F1A2D"/>
    <w:rsid w:val="005F204D"/>
    <w:rsid w:val="005F299F"/>
    <w:rsid w:val="005F30EF"/>
    <w:rsid w:val="005F36F2"/>
    <w:rsid w:val="005F5DA3"/>
    <w:rsid w:val="005F5F1E"/>
    <w:rsid w:val="005F67BC"/>
    <w:rsid w:val="005F6834"/>
    <w:rsid w:val="005F6E9B"/>
    <w:rsid w:val="00600FF2"/>
    <w:rsid w:val="00601AA5"/>
    <w:rsid w:val="00601EC9"/>
    <w:rsid w:val="00603855"/>
    <w:rsid w:val="00604573"/>
    <w:rsid w:val="006046C8"/>
    <w:rsid w:val="00604A7C"/>
    <w:rsid w:val="00605C81"/>
    <w:rsid w:val="00607BBF"/>
    <w:rsid w:val="00611347"/>
    <w:rsid w:val="0061177E"/>
    <w:rsid w:val="006129E3"/>
    <w:rsid w:val="006138FB"/>
    <w:rsid w:val="00614CDF"/>
    <w:rsid w:val="00616010"/>
    <w:rsid w:val="0061638A"/>
    <w:rsid w:val="00616926"/>
    <w:rsid w:val="00616AAF"/>
    <w:rsid w:val="00617048"/>
    <w:rsid w:val="006179B0"/>
    <w:rsid w:val="006200EE"/>
    <w:rsid w:val="00621757"/>
    <w:rsid w:val="00622038"/>
    <w:rsid w:val="00622A76"/>
    <w:rsid w:val="00622AD4"/>
    <w:rsid w:val="00624126"/>
    <w:rsid w:val="0062613E"/>
    <w:rsid w:val="0062726E"/>
    <w:rsid w:val="00627B69"/>
    <w:rsid w:val="0063042B"/>
    <w:rsid w:val="00630674"/>
    <w:rsid w:val="00632105"/>
    <w:rsid w:val="006333D5"/>
    <w:rsid w:val="0063597D"/>
    <w:rsid w:val="00636AA0"/>
    <w:rsid w:val="00640BF8"/>
    <w:rsid w:val="00641AA7"/>
    <w:rsid w:val="00641C71"/>
    <w:rsid w:val="0064387B"/>
    <w:rsid w:val="00644AD0"/>
    <w:rsid w:val="00644B09"/>
    <w:rsid w:val="00645345"/>
    <w:rsid w:val="00645DE1"/>
    <w:rsid w:val="00646CBA"/>
    <w:rsid w:val="00646E9D"/>
    <w:rsid w:val="006470E2"/>
    <w:rsid w:val="0064789C"/>
    <w:rsid w:val="006520DE"/>
    <w:rsid w:val="006532F1"/>
    <w:rsid w:val="00653674"/>
    <w:rsid w:val="00653879"/>
    <w:rsid w:val="006560A6"/>
    <w:rsid w:val="006574D8"/>
    <w:rsid w:val="00661067"/>
    <w:rsid w:val="006611A1"/>
    <w:rsid w:val="00662B99"/>
    <w:rsid w:val="00662E46"/>
    <w:rsid w:val="00662E73"/>
    <w:rsid w:val="00663592"/>
    <w:rsid w:val="00666C81"/>
    <w:rsid w:val="00667C19"/>
    <w:rsid w:val="00670A90"/>
    <w:rsid w:val="0067114E"/>
    <w:rsid w:val="006748C3"/>
    <w:rsid w:val="00675F8B"/>
    <w:rsid w:val="006768B4"/>
    <w:rsid w:val="0068082A"/>
    <w:rsid w:val="0068198C"/>
    <w:rsid w:val="00681E6A"/>
    <w:rsid w:val="00682A45"/>
    <w:rsid w:val="0068400E"/>
    <w:rsid w:val="00684760"/>
    <w:rsid w:val="00684CA3"/>
    <w:rsid w:val="00685044"/>
    <w:rsid w:val="0068586F"/>
    <w:rsid w:val="0068624A"/>
    <w:rsid w:val="006865BB"/>
    <w:rsid w:val="00687231"/>
    <w:rsid w:val="0068740D"/>
    <w:rsid w:val="00687743"/>
    <w:rsid w:val="0069088B"/>
    <w:rsid w:val="00691D83"/>
    <w:rsid w:val="00691DE4"/>
    <w:rsid w:val="00692073"/>
    <w:rsid w:val="0069296B"/>
    <w:rsid w:val="0069376B"/>
    <w:rsid w:val="006940AA"/>
    <w:rsid w:val="0069483A"/>
    <w:rsid w:val="006976AF"/>
    <w:rsid w:val="006A0AF6"/>
    <w:rsid w:val="006A14E0"/>
    <w:rsid w:val="006A185B"/>
    <w:rsid w:val="006A6304"/>
    <w:rsid w:val="006A688E"/>
    <w:rsid w:val="006A6D08"/>
    <w:rsid w:val="006A6D91"/>
    <w:rsid w:val="006B06F4"/>
    <w:rsid w:val="006B0FAF"/>
    <w:rsid w:val="006B2B35"/>
    <w:rsid w:val="006B43A8"/>
    <w:rsid w:val="006B702E"/>
    <w:rsid w:val="006B726F"/>
    <w:rsid w:val="006C1BCB"/>
    <w:rsid w:val="006C3F18"/>
    <w:rsid w:val="006C44AD"/>
    <w:rsid w:val="006C44D9"/>
    <w:rsid w:val="006C4B3E"/>
    <w:rsid w:val="006C691E"/>
    <w:rsid w:val="006C6DE3"/>
    <w:rsid w:val="006C70C5"/>
    <w:rsid w:val="006D4B05"/>
    <w:rsid w:val="006D7A31"/>
    <w:rsid w:val="006E13D5"/>
    <w:rsid w:val="006E22EC"/>
    <w:rsid w:val="006E2909"/>
    <w:rsid w:val="006E30A5"/>
    <w:rsid w:val="006E400A"/>
    <w:rsid w:val="006E5CC6"/>
    <w:rsid w:val="006F1FEF"/>
    <w:rsid w:val="006F205C"/>
    <w:rsid w:val="006F26F9"/>
    <w:rsid w:val="006F2A4E"/>
    <w:rsid w:val="006F346C"/>
    <w:rsid w:val="006F410F"/>
    <w:rsid w:val="006F4154"/>
    <w:rsid w:val="006F4BB3"/>
    <w:rsid w:val="006F4E4A"/>
    <w:rsid w:val="006F4E92"/>
    <w:rsid w:val="006F71D9"/>
    <w:rsid w:val="006F7B7F"/>
    <w:rsid w:val="00704714"/>
    <w:rsid w:val="00704AF4"/>
    <w:rsid w:val="00704B15"/>
    <w:rsid w:val="007056A0"/>
    <w:rsid w:val="00710EB4"/>
    <w:rsid w:val="00711C67"/>
    <w:rsid w:val="007122F4"/>
    <w:rsid w:val="00713B41"/>
    <w:rsid w:val="00713CF3"/>
    <w:rsid w:val="00714042"/>
    <w:rsid w:val="00715B83"/>
    <w:rsid w:val="00717D79"/>
    <w:rsid w:val="00720338"/>
    <w:rsid w:val="00720576"/>
    <w:rsid w:val="0072114C"/>
    <w:rsid w:val="007220AA"/>
    <w:rsid w:val="007227CE"/>
    <w:rsid w:val="00722BA3"/>
    <w:rsid w:val="007247BB"/>
    <w:rsid w:val="0072713F"/>
    <w:rsid w:val="0072744A"/>
    <w:rsid w:val="00727464"/>
    <w:rsid w:val="00727C47"/>
    <w:rsid w:val="00730D60"/>
    <w:rsid w:val="00734A5C"/>
    <w:rsid w:val="00736433"/>
    <w:rsid w:val="00736864"/>
    <w:rsid w:val="007371BC"/>
    <w:rsid w:val="00740C60"/>
    <w:rsid w:val="00740F4C"/>
    <w:rsid w:val="007412A3"/>
    <w:rsid w:val="0074148C"/>
    <w:rsid w:val="00741BC7"/>
    <w:rsid w:val="00742F8E"/>
    <w:rsid w:val="00743EE3"/>
    <w:rsid w:val="00745B14"/>
    <w:rsid w:val="00745D3E"/>
    <w:rsid w:val="00745ED7"/>
    <w:rsid w:val="0074710D"/>
    <w:rsid w:val="00747C3F"/>
    <w:rsid w:val="0075115E"/>
    <w:rsid w:val="007518AA"/>
    <w:rsid w:val="007528C7"/>
    <w:rsid w:val="007530D3"/>
    <w:rsid w:val="00755DA7"/>
    <w:rsid w:val="00757B01"/>
    <w:rsid w:val="0076341B"/>
    <w:rsid w:val="007653DB"/>
    <w:rsid w:val="007656D7"/>
    <w:rsid w:val="0076727F"/>
    <w:rsid w:val="0077031D"/>
    <w:rsid w:val="007723B3"/>
    <w:rsid w:val="00773348"/>
    <w:rsid w:val="00774968"/>
    <w:rsid w:val="00774F19"/>
    <w:rsid w:val="0077515E"/>
    <w:rsid w:val="007759BD"/>
    <w:rsid w:val="007768FF"/>
    <w:rsid w:val="007776C4"/>
    <w:rsid w:val="00780569"/>
    <w:rsid w:val="007805BB"/>
    <w:rsid w:val="007808F5"/>
    <w:rsid w:val="00780900"/>
    <w:rsid w:val="00780D8A"/>
    <w:rsid w:val="00781217"/>
    <w:rsid w:val="00781BF4"/>
    <w:rsid w:val="007837B1"/>
    <w:rsid w:val="007843D1"/>
    <w:rsid w:val="00785CF5"/>
    <w:rsid w:val="00786EDF"/>
    <w:rsid w:val="007872B1"/>
    <w:rsid w:val="00787A0E"/>
    <w:rsid w:val="007900AE"/>
    <w:rsid w:val="007901A3"/>
    <w:rsid w:val="0079045F"/>
    <w:rsid w:val="00791BC4"/>
    <w:rsid w:val="00792350"/>
    <w:rsid w:val="0079419E"/>
    <w:rsid w:val="007945CC"/>
    <w:rsid w:val="00795DA2"/>
    <w:rsid w:val="007A0F0D"/>
    <w:rsid w:val="007A17F0"/>
    <w:rsid w:val="007A2B7B"/>
    <w:rsid w:val="007A4B5C"/>
    <w:rsid w:val="007A5C00"/>
    <w:rsid w:val="007A745D"/>
    <w:rsid w:val="007A78DD"/>
    <w:rsid w:val="007B0170"/>
    <w:rsid w:val="007B1638"/>
    <w:rsid w:val="007B1C56"/>
    <w:rsid w:val="007B234A"/>
    <w:rsid w:val="007B262A"/>
    <w:rsid w:val="007B2869"/>
    <w:rsid w:val="007B2E93"/>
    <w:rsid w:val="007B3812"/>
    <w:rsid w:val="007B4287"/>
    <w:rsid w:val="007B5F72"/>
    <w:rsid w:val="007C09D5"/>
    <w:rsid w:val="007C20D1"/>
    <w:rsid w:val="007C58AD"/>
    <w:rsid w:val="007C6207"/>
    <w:rsid w:val="007C6596"/>
    <w:rsid w:val="007C6CF1"/>
    <w:rsid w:val="007C7D0D"/>
    <w:rsid w:val="007D0D7B"/>
    <w:rsid w:val="007D21C2"/>
    <w:rsid w:val="007D2990"/>
    <w:rsid w:val="007D42BD"/>
    <w:rsid w:val="007D773A"/>
    <w:rsid w:val="007E34FE"/>
    <w:rsid w:val="007E4A6F"/>
    <w:rsid w:val="007E6654"/>
    <w:rsid w:val="007E6CFD"/>
    <w:rsid w:val="007E6DDF"/>
    <w:rsid w:val="007F040B"/>
    <w:rsid w:val="007F074D"/>
    <w:rsid w:val="007F08AA"/>
    <w:rsid w:val="007F12D5"/>
    <w:rsid w:val="007F285B"/>
    <w:rsid w:val="007F2BB1"/>
    <w:rsid w:val="007F317E"/>
    <w:rsid w:val="007F4499"/>
    <w:rsid w:val="007F7D1D"/>
    <w:rsid w:val="007F7FAA"/>
    <w:rsid w:val="00800A15"/>
    <w:rsid w:val="00800D65"/>
    <w:rsid w:val="0080530A"/>
    <w:rsid w:val="00805B49"/>
    <w:rsid w:val="0080632F"/>
    <w:rsid w:val="00806337"/>
    <w:rsid w:val="00806DDD"/>
    <w:rsid w:val="00807AE5"/>
    <w:rsid w:val="00807D0E"/>
    <w:rsid w:val="00813A30"/>
    <w:rsid w:val="00814AD9"/>
    <w:rsid w:val="00815D05"/>
    <w:rsid w:val="00815DC3"/>
    <w:rsid w:val="00815E16"/>
    <w:rsid w:val="00817EC7"/>
    <w:rsid w:val="00820A19"/>
    <w:rsid w:val="008215CA"/>
    <w:rsid w:val="00823FE7"/>
    <w:rsid w:val="0082507E"/>
    <w:rsid w:val="0082774E"/>
    <w:rsid w:val="0082794D"/>
    <w:rsid w:val="008314F1"/>
    <w:rsid w:val="008327E4"/>
    <w:rsid w:val="0083299E"/>
    <w:rsid w:val="00832EB7"/>
    <w:rsid w:val="008334F8"/>
    <w:rsid w:val="00834027"/>
    <w:rsid w:val="00834F0D"/>
    <w:rsid w:val="00837616"/>
    <w:rsid w:val="00837A5D"/>
    <w:rsid w:val="0084016B"/>
    <w:rsid w:val="008402B6"/>
    <w:rsid w:val="0084552B"/>
    <w:rsid w:val="0084671F"/>
    <w:rsid w:val="00847178"/>
    <w:rsid w:val="008475B6"/>
    <w:rsid w:val="008518DC"/>
    <w:rsid w:val="00851BCC"/>
    <w:rsid w:val="00854215"/>
    <w:rsid w:val="00854842"/>
    <w:rsid w:val="00856A34"/>
    <w:rsid w:val="00856AB4"/>
    <w:rsid w:val="00856F8F"/>
    <w:rsid w:val="00857606"/>
    <w:rsid w:val="00861533"/>
    <w:rsid w:val="008617C0"/>
    <w:rsid w:val="00861D5E"/>
    <w:rsid w:val="008620D8"/>
    <w:rsid w:val="008627E0"/>
    <w:rsid w:val="00862F44"/>
    <w:rsid w:val="008643C3"/>
    <w:rsid w:val="008663FB"/>
    <w:rsid w:val="008670A6"/>
    <w:rsid w:val="0087237B"/>
    <w:rsid w:val="00872747"/>
    <w:rsid w:val="00872B9A"/>
    <w:rsid w:val="00873D1C"/>
    <w:rsid w:val="00874C9D"/>
    <w:rsid w:val="00874DED"/>
    <w:rsid w:val="00875B99"/>
    <w:rsid w:val="00876B09"/>
    <w:rsid w:val="008807A2"/>
    <w:rsid w:val="00880BB1"/>
    <w:rsid w:val="008821EF"/>
    <w:rsid w:val="008834B7"/>
    <w:rsid w:val="00883E86"/>
    <w:rsid w:val="008842CF"/>
    <w:rsid w:val="0088485F"/>
    <w:rsid w:val="00884F43"/>
    <w:rsid w:val="00884F70"/>
    <w:rsid w:val="00884F7F"/>
    <w:rsid w:val="00891749"/>
    <w:rsid w:val="00892F29"/>
    <w:rsid w:val="0089464E"/>
    <w:rsid w:val="00894A1D"/>
    <w:rsid w:val="00895349"/>
    <w:rsid w:val="008956DE"/>
    <w:rsid w:val="008968AA"/>
    <w:rsid w:val="00897B5C"/>
    <w:rsid w:val="008A06E7"/>
    <w:rsid w:val="008A0937"/>
    <w:rsid w:val="008A0F90"/>
    <w:rsid w:val="008A1390"/>
    <w:rsid w:val="008A2A28"/>
    <w:rsid w:val="008A52DD"/>
    <w:rsid w:val="008A78E3"/>
    <w:rsid w:val="008A7F03"/>
    <w:rsid w:val="008B0B1B"/>
    <w:rsid w:val="008B1B18"/>
    <w:rsid w:val="008B4E45"/>
    <w:rsid w:val="008B6350"/>
    <w:rsid w:val="008C231E"/>
    <w:rsid w:val="008C406B"/>
    <w:rsid w:val="008C48DA"/>
    <w:rsid w:val="008C4B73"/>
    <w:rsid w:val="008C55E8"/>
    <w:rsid w:val="008C64BC"/>
    <w:rsid w:val="008C78D9"/>
    <w:rsid w:val="008C7BF3"/>
    <w:rsid w:val="008C7C01"/>
    <w:rsid w:val="008C7D04"/>
    <w:rsid w:val="008D00F3"/>
    <w:rsid w:val="008D0E47"/>
    <w:rsid w:val="008D3C73"/>
    <w:rsid w:val="008D58C9"/>
    <w:rsid w:val="008D63B1"/>
    <w:rsid w:val="008D7558"/>
    <w:rsid w:val="008E2599"/>
    <w:rsid w:val="008E3947"/>
    <w:rsid w:val="008E4DB5"/>
    <w:rsid w:val="008E5E7A"/>
    <w:rsid w:val="008E69A1"/>
    <w:rsid w:val="008F1EF2"/>
    <w:rsid w:val="008F26CA"/>
    <w:rsid w:val="008F5D28"/>
    <w:rsid w:val="008F68E7"/>
    <w:rsid w:val="008F7568"/>
    <w:rsid w:val="00900C95"/>
    <w:rsid w:val="00901DA5"/>
    <w:rsid w:val="0090268E"/>
    <w:rsid w:val="0090344D"/>
    <w:rsid w:val="00903717"/>
    <w:rsid w:val="00903E30"/>
    <w:rsid w:val="00904957"/>
    <w:rsid w:val="00905D68"/>
    <w:rsid w:val="009078AD"/>
    <w:rsid w:val="00910CE8"/>
    <w:rsid w:val="00911E2A"/>
    <w:rsid w:val="00912D9A"/>
    <w:rsid w:val="0091460C"/>
    <w:rsid w:val="009150BE"/>
    <w:rsid w:val="009151E3"/>
    <w:rsid w:val="00915BE8"/>
    <w:rsid w:val="00921B9F"/>
    <w:rsid w:val="009220A1"/>
    <w:rsid w:val="009224DD"/>
    <w:rsid w:val="009233A3"/>
    <w:rsid w:val="00923569"/>
    <w:rsid w:val="0092591D"/>
    <w:rsid w:val="009302D6"/>
    <w:rsid w:val="0093127C"/>
    <w:rsid w:val="00931944"/>
    <w:rsid w:val="00933003"/>
    <w:rsid w:val="009337F2"/>
    <w:rsid w:val="00935985"/>
    <w:rsid w:val="00936A03"/>
    <w:rsid w:val="00936F2F"/>
    <w:rsid w:val="00936F7B"/>
    <w:rsid w:val="00941569"/>
    <w:rsid w:val="00941FA1"/>
    <w:rsid w:val="00943D68"/>
    <w:rsid w:val="009440BB"/>
    <w:rsid w:val="00945110"/>
    <w:rsid w:val="00945D44"/>
    <w:rsid w:val="00946F4B"/>
    <w:rsid w:val="00951AA4"/>
    <w:rsid w:val="00951E77"/>
    <w:rsid w:val="00951F17"/>
    <w:rsid w:val="00953ED2"/>
    <w:rsid w:val="009561DE"/>
    <w:rsid w:val="00957B84"/>
    <w:rsid w:val="00960F30"/>
    <w:rsid w:val="00961E14"/>
    <w:rsid w:val="0096245F"/>
    <w:rsid w:val="00962D1A"/>
    <w:rsid w:val="00963D19"/>
    <w:rsid w:val="00964314"/>
    <w:rsid w:val="009657B6"/>
    <w:rsid w:val="00965836"/>
    <w:rsid w:val="00967173"/>
    <w:rsid w:val="009704B2"/>
    <w:rsid w:val="009704B9"/>
    <w:rsid w:val="0097492A"/>
    <w:rsid w:val="00974EB8"/>
    <w:rsid w:val="00976479"/>
    <w:rsid w:val="009773E1"/>
    <w:rsid w:val="0098262F"/>
    <w:rsid w:val="00982F88"/>
    <w:rsid w:val="009850A4"/>
    <w:rsid w:val="009865DE"/>
    <w:rsid w:val="0098697D"/>
    <w:rsid w:val="0098710D"/>
    <w:rsid w:val="0098762F"/>
    <w:rsid w:val="0098785B"/>
    <w:rsid w:val="00991B83"/>
    <w:rsid w:val="00992B61"/>
    <w:rsid w:val="00993521"/>
    <w:rsid w:val="0099365A"/>
    <w:rsid w:val="00994B9E"/>
    <w:rsid w:val="00995338"/>
    <w:rsid w:val="00995B93"/>
    <w:rsid w:val="009A19D9"/>
    <w:rsid w:val="009A1A9C"/>
    <w:rsid w:val="009A1D35"/>
    <w:rsid w:val="009A3286"/>
    <w:rsid w:val="009A3FBD"/>
    <w:rsid w:val="009A4121"/>
    <w:rsid w:val="009A414E"/>
    <w:rsid w:val="009A4D07"/>
    <w:rsid w:val="009A572A"/>
    <w:rsid w:val="009A63C9"/>
    <w:rsid w:val="009A77F7"/>
    <w:rsid w:val="009B0BD3"/>
    <w:rsid w:val="009B2CB8"/>
    <w:rsid w:val="009B72C8"/>
    <w:rsid w:val="009B73C3"/>
    <w:rsid w:val="009B75CB"/>
    <w:rsid w:val="009C00F1"/>
    <w:rsid w:val="009C02F4"/>
    <w:rsid w:val="009C1CC1"/>
    <w:rsid w:val="009C47F4"/>
    <w:rsid w:val="009C5893"/>
    <w:rsid w:val="009C70F9"/>
    <w:rsid w:val="009C710F"/>
    <w:rsid w:val="009D09CC"/>
    <w:rsid w:val="009D0BD0"/>
    <w:rsid w:val="009D29AD"/>
    <w:rsid w:val="009D5151"/>
    <w:rsid w:val="009D7420"/>
    <w:rsid w:val="009E10BC"/>
    <w:rsid w:val="009E1A54"/>
    <w:rsid w:val="009E2C5B"/>
    <w:rsid w:val="009E4018"/>
    <w:rsid w:val="009E51AE"/>
    <w:rsid w:val="009E69B7"/>
    <w:rsid w:val="009F09E7"/>
    <w:rsid w:val="009F0DB4"/>
    <w:rsid w:val="009F2A42"/>
    <w:rsid w:val="009F5377"/>
    <w:rsid w:val="009F5CEB"/>
    <w:rsid w:val="009F6A91"/>
    <w:rsid w:val="00A008A9"/>
    <w:rsid w:val="00A02CD9"/>
    <w:rsid w:val="00A03420"/>
    <w:rsid w:val="00A03904"/>
    <w:rsid w:val="00A061CD"/>
    <w:rsid w:val="00A075E6"/>
    <w:rsid w:val="00A1080B"/>
    <w:rsid w:val="00A10C16"/>
    <w:rsid w:val="00A10ED0"/>
    <w:rsid w:val="00A14683"/>
    <w:rsid w:val="00A159F7"/>
    <w:rsid w:val="00A15E96"/>
    <w:rsid w:val="00A1626E"/>
    <w:rsid w:val="00A16B96"/>
    <w:rsid w:val="00A201B7"/>
    <w:rsid w:val="00A2046D"/>
    <w:rsid w:val="00A207D3"/>
    <w:rsid w:val="00A23E05"/>
    <w:rsid w:val="00A23E45"/>
    <w:rsid w:val="00A255F3"/>
    <w:rsid w:val="00A302F7"/>
    <w:rsid w:val="00A30BC9"/>
    <w:rsid w:val="00A314F7"/>
    <w:rsid w:val="00A329FD"/>
    <w:rsid w:val="00A334CA"/>
    <w:rsid w:val="00A33ADA"/>
    <w:rsid w:val="00A3443C"/>
    <w:rsid w:val="00A35899"/>
    <w:rsid w:val="00A36618"/>
    <w:rsid w:val="00A373A4"/>
    <w:rsid w:val="00A41373"/>
    <w:rsid w:val="00A426D1"/>
    <w:rsid w:val="00A42B06"/>
    <w:rsid w:val="00A42B39"/>
    <w:rsid w:val="00A43070"/>
    <w:rsid w:val="00A43CC4"/>
    <w:rsid w:val="00A44F2B"/>
    <w:rsid w:val="00A467D9"/>
    <w:rsid w:val="00A473AC"/>
    <w:rsid w:val="00A47767"/>
    <w:rsid w:val="00A47A49"/>
    <w:rsid w:val="00A47A69"/>
    <w:rsid w:val="00A50F8E"/>
    <w:rsid w:val="00A52C60"/>
    <w:rsid w:val="00A55F04"/>
    <w:rsid w:val="00A56393"/>
    <w:rsid w:val="00A56836"/>
    <w:rsid w:val="00A60267"/>
    <w:rsid w:val="00A61216"/>
    <w:rsid w:val="00A62AEA"/>
    <w:rsid w:val="00A6330E"/>
    <w:rsid w:val="00A63C74"/>
    <w:rsid w:val="00A65189"/>
    <w:rsid w:val="00A66330"/>
    <w:rsid w:val="00A6689B"/>
    <w:rsid w:val="00A67309"/>
    <w:rsid w:val="00A6786F"/>
    <w:rsid w:val="00A67A90"/>
    <w:rsid w:val="00A67DFC"/>
    <w:rsid w:val="00A70E15"/>
    <w:rsid w:val="00A73B55"/>
    <w:rsid w:val="00A7416A"/>
    <w:rsid w:val="00A743B2"/>
    <w:rsid w:val="00A76141"/>
    <w:rsid w:val="00A76386"/>
    <w:rsid w:val="00A774C2"/>
    <w:rsid w:val="00A77DAE"/>
    <w:rsid w:val="00A80930"/>
    <w:rsid w:val="00A815A6"/>
    <w:rsid w:val="00A84F06"/>
    <w:rsid w:val="00A87666"/>
    <w:rsid w:val="00A9040A"/>
    <w:rsid w:val="00A91D98"/>
    <w:rsid w:val="00A92E7C"/>
    <w:rsid w:val="00A936A0"/>
    <w:rsid w:val="00A9433D"/>
    <w:rsid w:val="00A94CA3"/>
    <w:rsid w:val="00A9601B"/>
    <w:rsid w:val="00A9614A"/>
    <w:rsid w:val="00A96501"/>
    <w:rsid w:val="00A9677F"/>
    <w:rsid w:val="00A96D80"/>
    <w:rsid w:val="00A97573"/>
    <w:rsid w:val="00AA033B"/>
    <w:rsid w:val="00AA07FB"/>
    <w:rsid w:val="00AA1B88"/>
    <w:rsid w:val="00AA2147"/>
    <w:rsid w:val="00AA417B"/>
    <w:rsid w:val="00AA4BE5"/>
    <w:rsid w:val="00AA7B34"/>
    <w:rsid w:val="00AB0153"/>
    <w:rsid w:val="00AB0545"/>
    <w:rsid w:val="00AB0C37"/>
    <w:rsid w:val="00AB0E23"/>
    <w:rsid w:val="00AB1998"/>
    <w:rsid w:val="00AB22CB"/>
    <w:rsid w:val="00AB2B35"/>
    <w:rsid w:val="00AB478B"/>
    <w:rsid w:val="00AB558D"/>
    <w:rsid w:val="00AB72DD"/>
    <w:rsid w:val="00AC1203"/>
    <w:rsid w:val="00AC1DB7"/>
    <w:rsid w:val="00AC1F3E"/>
    <w:rsid w:val="00AC2168"/>
    <w:rsid w:val="00AC5391"/>
    <w:rsid w:val="00AC5594"/>
    <w:rsid w:val="00AC5788"/>
    <w:rsid w:val="00AC5E41"/>
    <w:rsid w:val="00AC7491"/>
    <w:rsid w:val="00AC7D76"/>
    <w:rsid w:val="00AD7076"/>
    <w:rsid w:val="00AE26A0"/>
    <w:rsid w:val="00AE364F"/>
    <w:rsid w:val="00AE3964"/>
    <w:rsid w:val="00AE728E"/>
    <w:rsid w:val="00AF1F6F"/>
    <w:rsid w:val="00AF261C"/>
    <w:rsid w:val="00AF3A10"/>
    <w:rsid w:val="00AF496D"/>
    <w:rsid w:val="00AF4F0D"/>
    <w:rsid w:val="00AF5EE8"/>
    <w:rsid w:val="00AF6F26"/>
    <w:rsid w:val="00AF75E6"/>
    <w:rsid w:val="00B003F0"/>
    <w:rsid w:val="00B01BA9"/>
    <w:rsid w:val="00B020AD"/>
    <w:rsid w:val="00B02AAC"/>
    <w:rsid w:val="00B035F3"/>
    <w:rsid w:val="00B03A43"/>
    <w:rsid w:val="00B06189"/>
    <w:rsid w:val="00B06707"/>
    <w:rsid w:val="00B12773"/>
    <w:rsid w:val="00B13F38"/>
    <w:rsid w:val="00B1461C"/>
    <w:rsid w:val="00B14C0C"/>
    <w:rsid w:val="00B15439"/>
    <w:rsid w:val="00B167A9"/>
    <w:rsid w:val="00B17C8F"/>
    <w:rsid w:val="00B22D21"/>
    <w:rsid w:val="00B23552"/>
    <w:rsid w:val="00B24643"/>
    <w:rsid w:val="00B247F2"/>
    <w:rsid w:val="00B267D3"/>
    <w:rsid w:val="00B268DE"/>
    <w:rsid w:val="00B3056A"/>
    <w:rsid w:val="00B32177"/>
    <w:rsid w:val="00B32231"/>
    <w:rsid w:val="00B33C95"/>
    <w:rsid w:val="00B3443D"/>
    <w:rsid w:val="00B353CC"/>
    <w:rsid w:val="00B35CB8"/>
    <w:rsid w:val="00B36DEE"/>
    <w:rsid w:val="00B37232"/>
    <w:rsid w:val="00B37D8A"/>
    <w:rsid w:val="00B40667"/>
    <w:rsid w:val="00B4211B"/>
    <w:rsid w:val="00B438D7"/>
    <w:rsid w:val="00B47607"/>
    <w:rsid w:val="00B51CC1"/>
    <w:rsid w:val="00B52621"/>
    <w:rsid w:val="00B52DE6"/>
    <w:rsid w:val="00B52EB8"/>
    <w:rsid w:val="00B5304A"/>
    <w:rsid w:val="00B53C36"/>
    <w:rsid w:val="00B54503"/>
    <w:rsid w:val="00B5457F"/>
    <w:rsid w:val="00B55220"/>
    <w:rsid w:val="00B5522F"/>
    <w:rsid w:val="00B55978"/>
    <w:rsid w:val="00B55D70"/>
    <w:rsid w:val="00B56C2D"/>
    <w:rsid w:val="00B56F64"/>
    <w:rsid w:val="00B5768F"/>
    <w:rsid w:val="00B60703"/>
    <w:rsid w:val="00B60CE6"/>
    <w:rsid w:val="00B60F41"/>
    <w:rsid w:val="00B61BA3"/>
    <w:rsid w:val="00B669C6"/>
    <w:rsid w:val="00B71B6D"/>
    <w:rsid w:val="00B72333"/>
    <w:rsid w:val="00B72663"/>
    <w:rsid w:val="00B726E6"/>
    <w:rsid w:val="00B75322"/>
    <w:rsid w:val="00B864EB"/>
    <w:rsid w:val="00B9036D"/>
    <w:rsid w:val="00B910AA"/>
    <w:rsid w:val="00B923FC"/>
    <w:rsid w:val="00B9374A"/>
    <w:rsid w:val="00B9398A"/>
    <w:rsid w:val="00B95244"/>
    <w:rsid w:val="00B954A5"/>
    <w:rsid w:val="00B960BB"/>
    <w:rsid w:val="00B96EB9"/>
    <w:rsid w:val="00BA01EC"/>
    <w:rsid w:val="00BA0601"/>
    <w:rsid w:val="00BA2E1F"/>
    <w:rsid w:val="00BA3863"/>
    <w:rsid w:val="00BA3968"/>
    <w:rsid w:val="00BA3E7C"/>
    <w:rsid w:val="00BA4C2E"/>
    <w:rsid w:val="00BA67C9"/>
    <w:rsid w:val="00BA79FA"/>
    <w:rsid w:val="00BB06C9"/>
    <w:rsid w:val="00BB17C1"/>
    <w:rsid w:val="00BB1DBD"/>
    <w:rsid w:val="00BB3D28"/>
    <w:rsid w:val="00BB6CF4"/>
    <w:rsid w:val="00BC17BF"/>
    <w:rsid w:val="00BC6ECD"/>
    <w:rsid w:val="00BC76CA"/>
    <w:rsid w:val="00BC78B0"/>
    <w:rsid w:val="00BC7923"/>
    <w:rsid w:val="00BC7BE2"/>
    <w:rsid w:val="00BD0ED5"/>
    <w:rsid w:val="00BD1A2C"/>
    <w:rsid w:val="00BD308A"/>
    <w:rsid w:val="00BD46F7"/>
    <w:rsid w:val="00BD5677"/>
    <w:rsid w:val="00BD6E58"/>
    <w:rsid w:val="00BD7218"/>
    <w:rsid w:val="00BE0385"/>
    <w:rsid w:val="00BE21FC"/>
    <w:rsid w:val="00BE24CC"/>
    <w:rsid w:val="00BE44B0"/>
    <w:rsid w:val="00BE5413"/>
    <w:rsid w:val="00BE54D4"/>
    <w:rsid w:val="00BE581A"/>
    <w:rsid w:val="00BE5BC7"/>
    <w:rsid w:val="00BE66CD"/>
    <w:rsid w:val="00BF1D98"/>
    <w:rsid w:val="00BF2217"/>
    <w:rsid w:val="00BF227C"/>
    <w:rsid w:val="00BF4754"/>
    <w:rsid w:val="00BF4BB1"/>
    <w:rsid w:val="00BF53B1"/>
    <w:rsid w:val="00BF7764"/>
    <w:rsid w:val="00BF7BFA"/>
    <w:rsid w:val="00C0148D"/>
    <w:rsid w:val="00C0153F"/>
    <w:rsid w:val="00C02B26"/>
    <w:rsid w:val="00C0387B"/>
    <w:rsid w:val="00C047FC"/>
    <w:rsid w:val="00C04BEE"/>
    <w:rsid w:val="00C05BEE"/>
    <w:rsid w:val="00C05DA3"/>
    <w:rsid w:val="00C07E86"/>
    <w:rsid w:val="00C07F3E"/>
    <w:rsid w:val="00C10352"/>
    <w:rsid w:val="00C12129"/>
    <w:rsid w:val="00C14152"/>
    <w:rsid w:val="00C14AD6"/>
    <w:rsid w:val="00C173C6"/>
    <w:rsid w:val="00C229CB"/>
    <w:rsid w:val="00C24430"/>
    <w:rsid w:val="00C24995"/>
    <w:rsid w:val="00C24E20"/>
    <w:rsid w:val="00C25328"/>
    <w:rsid w:val="00C30A9C"/>
    <w:rsid w:val="00C30AC8"/>
    <w:rsid w:val="00C30E3E"/>
    <w:rsid w:val="00C35320"/>
    <w:rsid w:val="00C362BE"/>
    <w:rsid w:val="00C3714B"/>
    <w:rsid w:val="00C37221"/>
    <w:rsid w:val="00C40D4B"/>
    <w:rsid w:val="00C421DA"/>
    <w:rsid w:val="00C4398A"/>
    <w:rsid w:val="00C43FEF"/>
    <w:rsid w:val="00C46532"/>
    <w:rsid w:val="00C503C4"/>
    <w:rsid w:val="00C50ABC"/>
    <w:rsid w:val="00C5153D"/>
    <w:rsid w:val="00C526B2"/>
    <w:rsid w:val="00C53A56"/>
    <w:rsid w:val="00C54504"/>
    <w:rsid w:val="00C5780E"/>
    <w:rsid w:val="00C60E54"/>
    <w:rsid w:val="00C6301F"/>
    <w:rsid w:val="00C6374C"/>
    <w:rsid w:val="00C638F6"/>
    <w:rsid w:val="00C66025"/>
    <w:rsid w:val="00C66DCD"/>
    <w:rsid w:val="00C66F09"/>
    <w:rsid w:val="00C677B1"/>
    <w:rsid w:val="00C71290"/>
    <w:rsid w:val="00C80087"/>
    <w:rsid w:val="00C80BF4"/>
    <w:rsid w:val="00C81307"/>
    <w:rsid w:val="00C81A34"/>
    <w:rsid w:val="00C83164"/>
    <w:rsid w:val="00C83453"/>
    <w:rsid w:val="00C8558D"/>
    <w:rsid w:val="00C8590B"/>
    <w:rsid w:val="00C85ADB"/>
    <w:rsid w:val="00C864C1"/>
    <w:rsid w:val="00C9057B"/>
    <w:rsid w:val="00C930C4"/>
    <w:rsid w:val="00C941BF"/>
    <w:rsid w:val="00C95C7B"/>
    <w:rsid w:val="00C97D77"/>
    <w:rsid w:val="00CA2142"/>
    <w:rsid w:val="00CA4BAC"/>
    <w:rsid w:val="00CA5D44"/>
    <w:rsid w:val="00CA70B5"/>
    <w:rsid w:val="00CA729F"/>
    <w:rsid w:val="00CA7D64"/>
    <w:rsid w:val="00CB00EB"/>
    <w:rsid w:val="00CB0A92"/>
    <w:rsid w:val="00CB0D33"/>
    <w:rsid w:val="00CB1B86"/>
    <w:rsid w:val="00CB5581"/>
    <w:rsid w:val="00CB5A92"/>
    <w:rsid w:val="00CB5F60"/>
    <w:rsid w:val="00CB6449"/>
    <w:rsid w:val="00CB6B7B"/>
    <w:rsid w:val="00CB6F8D"/>
    <w:rsid w:val="00CB78A9"/>
    <w:rsid w:val="00CB7B25"/>
    <w:rsid w:val="00CC0035"/>
    <w:rsid w:val="00CC2B35"/>
    <w:rsid w:val="00CC31A8"/>
    <w:rsid w:val="00CC3293"/>
    <w:rsid w:val="00CC330C"/>
    <w:rsid w:val="00CC4105"/>
    <w:rsid w:val="00CC45CC"/>
    <w:rsid w:val="00CC64C6"/>
    <w:rsid w:val="00CC6D17"/>
    <w:rsid w:val="00CC6F2E"/>
    <w:rsid w:val="00CC707D"/>
    <w:rsid w:val="00CC70AB"/>
    <w:rsid w:val="00CC7D26"/>
    <w:rsid w:val="00CD08A0"/>
    <w:rsid w:val="00CD3AAB"/>
    <w:rsid w:val="00CD4335"/>
    <w:rsid w:val="00CD5286"/>
    <w:rsid w:val="00CD6185"/>
    <w:rsid w:val="00CE72F0"/>
    <w:rsid w:val="00CE794D"/>
    <w:rsid w:val="00CE7FFC"/>
    <w:rsid w:val="00CF03A9"/>
    <w:rsid w:val="00CF2AF2"/>
    <w:rsid w:val="00CF329B"/>
    <w:rsid w:val="00CF4342"/>
    <w:rsid w:val="00CF4FB7"/>
    <w:rsid w:val="00CF610A"/>
    <w:rsid w:val="00CF79FD"/>
    <w:rsid w:val="00CF7AA0"/>
    <w:rsid w:val="00D006DA"/>
    <w:rsid w:val="00D016B0"/>
    <w:rsid w:val="00D034EA"/>
    <w:rsid w:val="00D03996"/>
    <w:rsid w:val="00D044E3"/>
    <w:rsid w:val="00D05366"/>
    <w:rsid w:val="00D059EB"/>
    <w:rsid w:val="00D07BB3"/>
    <w:rsid w:val="00D11729"/>
    <w:rsid w:val="00D117F1"/>
    <w:rsid w:val="00D12DA3"/>
    <w:rsid w:val="00D143AF"/>
    <w:rsid w:val="00D14BFD"/>
    <w:rsid w:val="00D15FFF"/>
    <w:rsid w:val="00D160EC"/>
    <w:rsid w:val="00D16B35"/>
    <w:rsid w:val="00D20506"/>
    <w:rsid w:val="00D217AE"/>
    <w:rsid w:val="00D218D3"/>
    <w:rsid w:val="00D239F1"/>
    <w:rsid w:val="00D24DD7"/>
    <w:rsid w:val="00D264F1"/>
    <w:rsid w:val="00D2667B"/>
    <w:rsid w:val="00D30F55"/>
    <w:rsid w:val="00D36715"/>
    <w:rsid w:val="00D3748E"/>
    <w:rsid w:val="00D40209"/>
    <w:rsid w:val="00D40EB4"/>
    <w:rsid w:val="00D429E5"/>
    <w:rsid w:val="00D44434"/>
    <w:rsid w:val="00D44EED"/>
    <w:rsid w:val="00D45404"/>
    <w:rsid w:val="00D51E04"/>
    <w:rsid w:val="00D521F1"/>
    <w:rsid w:val="00D52A99"/>
    <w:rsid w:val="00D53DD5"/>
    <w:rsid w:val="00D54BB6"/>
    <w:rsid w:val="00D55181"/>
    <w:rsid w:val="00D564B3"/>
    <w:rsid w:val="00D567E0"/>
    <w:rsid w:val="00D571FA"/>
    <w:rsid w:val="00D605C0"/>
    <w:rsid w:val="00D652C5"/>
    <w:rsid w:val="00D65785"/>
    <w:rsid w:val="00D66649"/>
    <w:rsid w:val="00D70ACE"/>
    <w:rsid w:val="00D71150"/>
    <w:rsid w:val="00D7139D"/>
    <w:rsid w:val="00D713D3"/>
    <w:rsid w:val="00D739B3"/>
    <w:rsid w:val="00D74ACE"/>
    <w:rsid w:val="00D76100"/>
    <w:rsid w:val="00D77F99"/>
    <w:rsid w:val="00D82B0D"/>
    <w:rsid w:val="00D82BA4"/>
    <w:rsid w:val="00D8306D"/>
    <w:rsid w:val="00D83E34"/>
    <w:rsid w:val="00D84F31"/>
    <w:rsid w:val="00D85349"/>
    <w:rsid w:val="00D86746"/>
    <w:rsid w:val="00D87137"/>
    <w:rsid w:val="00D87CE8"/>
    <w:rsid w:val="00D87F53"/>
    <w:rsid w:val="00D90072"/>
    <w:rsid w:val="00D930BD"/>
    <w:rsid w:val="00D937FF"/>
    <w:rsid w:val="00D9424E"/>
    <w:rsid w:val="00D94626"/>
    <w:rsid w:val="00D94E18"/>
    <w:rsid w:val="00D97247"/>
    <w:rsid w:val="00DA03D3"/>
    <w:rsid w:val="00DA0E94"/>
    <w:rsid w:val="00DA26E0"/>
    <w:rsid w:val="00DA4135"/>
    <w:rsid w:val="00DA5B96"/>
    <w:rsid w:val="00DA654D"/>
    <w:rsid w:val="00DA6A2E"/>
    <w:rsid w:val="00DA6D05"/>
    <w:rsid w:val="00DB02B5"/>
    <w:rsid w:val="00DB0F9C"/>
    <w:rsid w:val="00DB6D6E"/>
    <w:rsid w:val="00DC20DD"/>
    <w:rsid w:val="00DC2B76"/>
    <w:rsid w:val="00DC4C25"/>
    <w:rsid w:val="00DC6EAC"/>
    <w:rsid w:val="00DC71B6"/>
    <w:rsid w:val="00DD0E54"/>
    <w:rsid w:val="00DD2B6C"/>
    <w:rsid w:val="00DD2DFF"/>
    <w:rsid w:val="00DD417F"/>
    <w:rsid w:val="00DD4212"/>
    <w:rsid w:val="00DD643C"/>
    <w:rsid w:val="00DD698E"/>
    <w:rsid w:val="00DD762B"/>
    <w:rsid w:val="00DD7FE3"/>
    <w:rsid w:val="00DE0F43"/>
    <w:rsid w:val="00DE17F3"/>
    <w:rsid w:val="00DE2970"/>
    <w:rsid w:val="00DE3688"/>
    <w:rsid w:val="00DE383E"/>
    <w:rsid w:val="00DE551E"/>
    <w:rsid w:val="00DE664D"/>
    <w:rsid w:val="00DE7815"/>
    <w:rsid w:val="00DF0491"/>
    <w:rsid w:val="00DF073D"/>
    <w:rsid w:val="00DF11C6"/>
    <w:rsid w:val="00DF122F"/>
    <w:rsid w:val="00DF223F"/>
    <w:rsid w:val="00DF5C7A"/>
    <w:rsid w:val="00DF63CA"/>
    <w:rsid w:val="00E009E3"/>
    <w:rsid w:val="00E0123A"/>
    <w:rsid w:val="00E0200B"/>
    <w:rsid w:val="00E022D7"/>
    <w:rsid w:val="00E02470"/>
    <w:rsid w:val="00E02A86"/>
    <w:rsid w:val="00E03490"/>
    <w:rsid w:val="00E04471"/>
    <w:rsid w:val="00E05175"/>
    <w:rsid w:val="00E1156C"/>
    <w:rsid w:val="00E1269D"/>
    <w:rsid w:val="00E1276D"/>
    <w:rsid w:val="00E12922"/>
    <w:rsid w:val="00E12BDA"/>
    <w:rsid w:val="00E132C8"/>
    <w:rsid w:val="00E167AB"/>
    <w:rsid w:val="00E2077F"/>
    <w:rsid w:val="00E20A45"/>
    <w:rsid w:val="00E219C6"/>
    <w:rsid w:val="00E25868"/>
    <w:rsid w:val="00E26435"/>
    <w:rsid w:val="00E30BCF"/>
    <w:rsid w:val="00E30D72"/>
    <w:rsid w:val="00E343D6"/>
    <w:rsid w:val="00E351D2"/>
    <w:rsid w:val="00E372C0"/>
    <w:rsid w:val="00E37A24"/>
    <w:rsid w:val="00E37F4A"/>
    <w:rsid w:val="00E40566"/>
    <w:rsid w:val="00E40ED4"/>
    <w:rsid w:val="00E425FD"/>
    <w:rsid w:val="00E45B0B"/>
    <w:rsid w:val="00E460F0"/>
    <w:rsid w:val="00E46749"/>
    <w:rsid w:val="00E50A88"/>
    <w:rsid w:val="00E50DAE"/>
    <w:rsid w:val="00E51995"/>
    <w:rsid w:val="00E51D25"/>
    <w:rsid w:val="00E51F4A"/>
    <w:rsid w:val="00E52C97"/>
    <w:rsid w:val="00E55C37"/>
    <w:rsid w:val="00E56E71"/>
    <w:rsid w:val="00E5749A"/>
    <w:rsid w:val="00E6026B"/>
    <w:rsid w:val="00E60E27"/>
    <w:rsid w:val="00E61ED0"/>
    <w:rsid w:val="00E62A2C"/>
    <w:rsid w:val="00E62A7A"/>
    <w:rsid w:val="00E64586"/>
    <w:rsid w:val="00E6492D"/>
    <w:rsid w:val="00E64B17"/>
    <w:rsid w:val="00E64CF3"/>
    <w:rsid w:val="00E65DB5"/>
    <w:rsid w:val="00E661E2"/>
    <w:rsid w:val="00E66EFE"/>
    <w:rsid w:val="00E6756E"/>
    <w:rsid w:val="00E67836"/>
    <w:rsid w:val="00E67A02"/>
    <w:rsid w:val="00E70DE0"/>
    <w:rsid w:val="00E71268"/>
    <w:rsid w:val="00E7249C"/>
    <w:rsid w:val="00E73608"/>
    <w:rsid w:val="00E73A75"/>
    <w:rsid w:val="00E8103F"/>
    <w:rsid w:val="00E8203B"/>
    <w:rsid w:val="00E83901"/>
    <w:rsid w:val="00E83929"/>
    <w:rsid w:val="00E83B7C"/>
    <w:rsid w:val="00E84017"/>
    <w:rsid w:val="00E8508E"/>
    <w:rsid w:val="00E859B0"/>
    <w:rsid w:val="00E86A2E"/>
    <w:rsid w:val="00E87A03"/>
    <w:rsid w:val="00E87B4A"/>
    <w:rsid w:val="00E90680"/>
    <w:rsid w:val="00E91A92"/>
    <w:rsid w:val="00E94C45"/>
    <w:rsid w:val="00E95303"/>
    <w:rsid w:val="00E95452"/>
    <w:rsid w:val="00E9566B"/>
    <w:rsid w:val="00E967D5"/>
    <w:rsid w:val="00E96A10"/>
    <w:rsid w:val="00E97834"/>
    <w:rsid w:val="00EA032F"/>
    <w:rsid w:val="00EA05B0"/>
    <w:rsid w:val="00EA27D3"/>
    <w:rsid w:val="00EA28C0"/>
    <w:rsid w:val="00EA29B7"/>
    <w:rsid w:val="00EA2DCD"/>
    <w:rsid w:val="00EA313B"/>
    <w:rsid w:val="00EA54B8"/>
    <w:rsid w:val="00EA6DFC"/>
    <w:rsid w:val="00EA715E"/>
    <w:rsid w:val="00EA7488"/>
    <w:rsid w:val="00EB0579"/>
    <w:rsid w:val="00EB0F45"/>
    <w:rsid w:val="00EB106E"/>
    <w:rsid w:val="00EB35AE"/>
    <w:rsid w:val="00EB3954"/>
    <w:rsid w:val="00EC0383"/>
    <w:rsid w:val="00EC0C11"/>
    <w:rsid w:val="00EC1608"/>
    <w:rsid w:val="00EC2EBD"/>
    <w:rsid w:val="00EC3DA3"/>
    <w:rsid w:val="00EC42B8"/>
    <w:rsid w:val="00EC45F8"/>
    <w:rsid w:val="00EC503E"/>
    <w:rsid w:val="00EC528E"/>
    <w:rsid w:val="00EC5B65"/>
    <w:rsid w:val="00EC684B"/>
    <w:rsid w:val="00EC6967"/>
    <w:rsid w:val="00ED08AF"/>
    <w:rsid w:val="00ED1676"/>
    <w:rsid w:val="00ED1EEA"/>
    <w:rsid w:val="00ED482C"/>
    <w:rsid w:val="00ED4E00"/>
    <w:rsid w:val="00ED4F75"/>
    <w:rsid w:val="00ED5420"/>
    <w:rsid w:val="00EE0D34"/>
    <w:rsid w:val="00EE4212"/>
    <w:rsid w:val="00EE5D4F"/>
    <w:rsid w:val="00EE5F23"/>
    <w:rsid w:val="00EE6CCC"/>
    <w:rsid w:val="00EF077E"/>
    <w:rsid w:val="00EF4AC4"/>
    <w:rsid w:val="00EF4CFB"/>
    <w:rsid w:val="00EF661B"/>
    <w:rsid w:val="00F0020E"/>
    <w:rsid w:val="00F00CCE"/>
    <w:rsid w:val="00F01D4D"/>
    <w:rsid w:val="00F03505"/>
    <w:rsid w:val="00F03870"/>
    <w:rsid w:val="00F0416F"/>
    <w:rsid w:val="00F045DC"/>
    <w:rsid w:val="00F04CB1"/>
    <w:rsid w:val="00F0534A"/>
    <w:rsid w:val="00F056B6"/>
    <w:rsid w:val="00F0628F"/>
    <w:rsid w:val="00F106ED"/>
    <w:rsid w:val="00F10822"/>
    <w:rsid w:val="00F10832"/>
    <w:rsid w:val="00F10E36"/>
    <w:rsid w:val="00F121EF"/>
    <w:rsid w:val="00F126E3"/>
    <w:rsid w:val="00F149F9"/>
    <w:rsid w:val="00F15236"/>
    <w:rsid w:val="00F16F96"/>
    <w:rsid w:val="00F17611"/>
    <w:rsid w:val="00F21F9E"/>
    <w:rsid w:val="00F2364E"/>
    <w:rsid w:val="00F249EA"/>
    <w:rsid w:val="00F25E13"/>
    <w:rsid w:val="00F3089C"/>
    <w:rsid w:val="00F3382B"/>
    <w:rsid w:val="00F34A2C"/>
    <w:rsid w:val="00F37ED9"/>
    <w:rsid w:val="00F41EA0"/>
    <w:rsid w:val="00F42BDF"/>
    <w:rsid w:val="00F42ECC"/>
    <w:rsid w:val="00F43B13"/>
    <w:rsid w:val="00F450E0"/>
    <w:rsid w:val="00F451C2"/>
    <w:rsid w:val="00F46387"/>
    <w:rsid w:val="00F50680"/>
    <w:rsid w:val="00F50A6D"/>
    <w:rsid w:val="00F53321"/>
    <w:rsid w:val="00F55518"/>
    <w:rsid w:val="00F557B3"/>
    <w:rsid w:val="00F6179F"/>
    <w:rsid w:val="00F632EF"/>
    <w:rsid w:val="00F633C5"/>
    <w:rsid w:val="00F633CE"/>
    <w:rsid w:val="00F64B1C"/>
    <w:rsid w:val="00F65340"/>
    <w:rsid w:val="00F666B2"/>
    <w:rsid w:val="00F66E15"/>
    <w:rsid w:val="00F670AF"/>
    <w:rsid w:val="00F67DFC"/>
    <w:rsid w:val="00F70026"/>
    <w:rsid w:val="00F70E64"/>
    <w:rsid w:val="00F75101"/>
    <w:rsid w:val="00F760CD"/>
    <w:rsid w:val="00F7665A"/>
    <w:rsid w:val="00F81A88"/>
    <w:rsid w:val="00F83302"/>
    <w:rsid w:val="00F83628"/>
    <w:rsid w:val="00F8410F"/>
    <w:rsid w:val="00F8566B"/>
    <w:rsid w:val="00F85E76"/>
    <w:rsid w:val="00F86344"/>
    <w:rsid w:val="00F86434"/>
    <w:rsid w:val="00F9007C"/>
    <w:rsid w:val="00F957DF"/>
    <w:rsid w:val="00F96947"/>
    <w:rsid w:val="00F96D01"/>
    <w:rsid w:val="00FA0C73"/>
    <w:rsid w:val="00FA227E"/>
    <w:rsid w:val="00FA2B9A"/>
    <w:rsid w:val="00FA3891"/>
    <w:rsid w:val="00FA3FFD"/>
    <w:rsid w:val="00FA4A8D"/>
    <w:rsid w:val="00FA5CD7"/>
    <w:rsid w:val="00FA7BB7"/>
    <w:rsid w:val="00FB04B8"/>
    <w:rsid w:val="00FB1FD6"/>
    <w:rsid w:val="00FB2802"/>
    <w:rsid w:val="00FB2B0C"/>
    <w:rsid w:val="00FB4178"/>
    <w:rsid w:val="00FB4A7E"/>
    <w:rsid w:val="00FB4A8B"/>
    <w:rsid w:val="00FB5924"/>
    <w:rsid w:val="00FC1244"/>
    <w:rsid w:val="00FC1848"/>
    <w:rsid w:val="00FC5162"/>
    <w:rsid w:val="00FC53B7"/>
    <w:rsid w:val="00FC5DC4"/>
    <w:rsid w:val="00FC763D"/>
    <w:rsid w:val="00FC7E15"/>
    <w:rsid w:val="00FC7EE2"/>
    <w:rsid w:val="00FD2EDA"/>
    <w:rsid w:val="00FD3599"/>
    <w:rsid w:val="00FD44F2"/>
    <w:rsid w:val="00FD49D0"/>
    <w:rsid w:val="00FD4AEC"/>
    <w:rsid w:val="00FD6EA2"/>
    <w:rsid w:val="00FE00E5"/>
    <w:rsid w:val="00FE02BC"/>
    <w:rsid w:val="00FE3382"/>
    <w:rsid w:val="00FE34E7"/>
    <w:rsid w:val="00FE354C"/>
    <w:rsid w:val="00FE3E5F"/>
    <w:rsid w:val="00FE4D7D"/>
    <w:rsid w:val="00FE4EA2"/>
    <w:rsid w:val="00FE523D"/>
    <w:rsid w:val="00FE6183"/>
    <w:rsid w:val="00FE6361"/>
    <w:rsid w:val="00FE65F2"/>
    <w:rsid w:val="00FE6A21"/>
    <w:rsid w:val="00FF0D3E"/>
    <w:rsid w:val="00FF3671"/>
    <w:rsid w:val="00FF41E6"/>
    <w:rsid w:val="00FF45BA"/>
    <w:rsid w:val="00FF53F9"/>
    <w:rsid w:val="00FF5679"/>
    <w:rsid w:val="00FF7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979"/>
    <w:rPr>
      <w:rFonts w:ascii="Arial" w:hAnsi="Arial" w:cs="Arial"/>
      <w:sz w:val="24"/>
      <w:szCs w:val="24"/>
    </w:rPr>
  </w:style>
  <w:style w:type="paragraph" w:styleId="Heading1">
    <w:name w:val="heading 1"/>
    <w:basedOn w:val="Normal"/>
    <w:next w:val="Normal"/>
    <w:link w:val="Heading1Char"/>
    <w:uiPriority w:val="9"/>
    <w:qFormat/>
    <w:rsid w:val="00897B5C"/>
    <w:pPr>
      <w:keepNext/>
      <w:keepLines/>
      <w:numPr>
        <w:numId w:val="2"/>
      </w:numPr>
      <w:shd w:val="clear" w:color="auto" w:fill="BDD6EE" w:themeFill="accent1" w:themeFillTint="66"/>
      <w:spacing w:before="400" w:after="40" w:line="240" w:lineRule="auto"/>
      <w:outlineLvl w:val="0"/>
    </w:pPr>
    <w:rPr>
      <w:rFonts w:asciiTheme="majorHAnsi" w:eastAsiaTheme="majorEastAsia" w:hAnsiTheme="majorHAnsi" w:cstheme="majorBidi"/>
      <w:b/>
      <w:caps/>
      <w:szCs w:val="36"/>
    </w:rPr>
  </w:style>
  <w:style w:type="paragraph" w:styleId="Heading2">
    <w:name w:val="heading 2"/>
    <w:basedOn w:val="Normal"/>
    <w:next w:val="Normal"/>
    <w:link w:val="Heading2Char"/>
    <w:uiPriority w:val="9"/>
    <w:unhideWhenUsed/>
    <w:qFormat/>
    <w:rsid w:val="00194644"/>
    <w:pPr>
      <w:keepNext/>
      <w:keepLines/>
      <w:spacing w:before="360" w:after="0" w:line="240" w:lineRule="auto"/>
      <w:outlineLvl w:val="1"/>
    </w:pPr>
    <w:rPr>
      <w:rFonts w:asciiTheme="majorHAnsi" w:eastAsiaTheme="majorEastAsia" w:hAnsiTheme="majorHAnsi" w:cstheme="majorBidi"/>
      <w:b/>
      <w:sz w:val="28"/>
      <w:szCs w:val="28"/>
    </w:rPr>
  </w:style>
  <w:style w:type="paragraph" w:styleId="Heading3">
    <w:name w:val="heading 3"/>
    <w:basedOn w:val="Normal"/>
    <w:next w:val="Normal"/>
    <w:link w:val="Heading3Char"/>
    <w:uiPriority w:val="9"/>
    <w:unhideWhenUsed/>
    <w:qFormat/>
    <w:rsid w:val="00F8410F"/>
    <w:pPr>
      <w:keepNext/>
      <w:keepLines/>
      <w:spacing w:before="120" w:after="0" w:line="240" w:lineRule="auto"/>
      <w:outlineLvl w:val="2"/>
    </w:pPr>
    <w:rPr>
      <w:rFonts w:asciiTheme="majorHAnsi" w:eastAsiaTheme="majorEastAsia" w:hAnsiTheme="majorHAnsi" w:cstheme="majorBidi"/>
      <w:b/>
      <w:i/>
      <w:szCs w:val="28"/>
    </w:rPr>
  </w:style>
  <w:style w:type="paragraph" w:styleId="Heading4">
    <w:name w:val="heading 4"/>
    <w:basedOn w:val="Normal"/>
    <w:next w:val="Normal"/>
    <w:link w:val="Heading4Char"/>
    <w:uiPriority w:val="9"/>
    <w:semiHidden/>
    <w:unhideWhenUsed/>
    <w:qFormat/>
    <w:rsid w:val="00616AAF"/>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616AAF"/>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616AAF"/>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616AAF"/>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616AAF"/>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616AAF"/>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FA3FFD"/>
    <w:pPr>
      <w:spacing w:before="120" w:after="120" w:line="240" w:lineRule="auto"/>
      <w:ind w:firstLine="851"/>
    </w:pPr>
    <w:rPr>
      <w:rFonts w:cstheme="minorHAnsi"/>
      <w:b/>
      <w:bCs/>
      <w:caps/>
      <w:szCs w:val="20"/>
    </w:rPr>
  </w:style>
  <w:style w:type="character" w:customStyle="1" w:styleId="Heading1Char">
    <w:name w:val="Heading 1 Char"/>
    <w:basedOn w:val="DefaultParagraphFont"/>
    <w:link w:val="Heading1"/>
    <w:uiPriority w:val="9"/>
    <w:rsid w:val="00897B5C"/>
    <w:rPr>
      <w:rFonts w:asciiTheme="majorHAnsi" w:eastAsiaTheme="majorEastAsia" w:hAnsiTheme="majorHAnsi" w:cstheme="majorBidi"/>
      <w:b/>
      <w:caps/>
      <w:sz w:val="24"/>
      <w:szCs w:val="36"/>
      <w:shd w:val="clear" w:color="auto" w:fill="BDD6EE" w:themeFill="accent1" w:themeFillTint="66"/>
    </w:rPr>
  </w:style>
  <w:style w:type="character" w:customStyle="1" w:styleId="Heading2Char">
    <w:name w:val="Heading 2 Char"/>
    <w:basedOn w:val="DefaultParagraphFont"/>
    <w:link w:val="Heading2"/>
    <w:uiPriority w:val="9"/>
    <w:rsid w:val="00194644"/>
    <w:rPr>
      <w:rFonts w:asciiTheme="majorHAnsi" w:eastAsiaTheme="majorEastAsia" w:hAnsiTheme="majorHAnsi" w:cstheme="majorBidi"/>
      <w:b/>
      <w:sz w:val="28"/>
      <w:szCs w:val="28"/>
    </w:rPr>
  </w:style>
  <w:style w:type="character" w:customStyle="1" w:styleId="Heading3Char">
    <w:name w:val="Heading 3 Char"/>
    <w:basedOn w:val="DefaultParagraphFont"/>
    <w:link w:val="Heading3"/>
    <w:uiPriority w:val="9"/>
    <w:rsid w:val="00F8410F"/>
    <w:rPr>
      <w:rFonts w:asciiTheme="majorHAnsi" w:eastAsiaTheme="majorEastAsia" w:hAnsiTheme="majorHAnsi" w:cstheme="majorBidi"/>
      <w:b/>
      <w:i/>
      <w:szCs w:val="28"/>
    </w:rPr>
  </w:style>
  <w:style w:type="character" w:customStyle="1" w:styleId="Heading4Char">
    <w:name w:val="Heading 4 Char"/>
    <w:basedOn w:val="DefaultParagraphFont"/>
    <w:link w:val="Heading4"/>
    <w:uiPriority w:val="9"/>
    <w:semiHidden/>
    <w:rsid w:val="00616AAF"/>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616AAF"/>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616AAF"/>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616AAF"/>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616AAF"/>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616AAF"/>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unhideWhenUsed/>
    <w:qFormat/>
    <w:rsid w:val="00194644"/>
    <w:pPr>
      <w:spacing w:line="240" w:lineRule="auto"/>
      <w:jc w:val="center"/>
    </w:pPr>
    <w:rPr>
      <w:b/>
      <w:bCs/>
    </w:rPr>
  </w:style>
  <w:style w:type="paragraph" w:styleId="Title">
    <w:name w:val="Title"/>
    <w:basedOn w:val="Normal"/>
    <w:next w:val="Normal"/>
    <w:link w:val="TitleChar"/>
    <w:uiPriority w:val="10"/>
    <w:qFormat/>
    <w:rsid w:val="00897B5C"/>
    <w:pPr>
      <w:shd w:val="clear" w:color="auto" w:fill="2E74B5" w:themeFill="accent1" w:themeFillShade="BF"/>
      <w:spacing w:after="0" w:line="240" w:lineRule="auto"/>
      <w:contextualSpacing/>
      <w:jc w:val="center"/>
    </w:pPr>
    <w:rPr>
      <w:rFonts w:asciiTheme="majorHAnsi" w:eastAsiaTheme="majorEastAsia" w:hAnsiTheme="majorHAnsi" w:cstheme="majorBidi"/>
      <w:b/>
      <w:caps/>
      <w:color w:val="FFFFFF" w:themeColor="background1"/>
      <w:spacing w:val="-10"/>
      <w:sz w:val="32"/>
      <w:szCs w:val="72"/>
    </w:rPr>
  </w:style>
  <w:style w:type="character" w:customStyle="1" w:styleId="TitleChar">
    <w:name w:val="Title Char"/>
    <w:basedOn w:val="DefaultParagraphFont"/>
    <w:link w:val="Title"/>
    <w:uiPriority w:val="10"/>
    <w:rsid w:val="00897B5C"/>
    <w:rPr>
      <w:rFonts w:asciiTheme="majorHAnsi" w:eastAsiaTheme="majorEastAsia" w:hAnsiTheme="majorHAnsi" w:cstheme="majorBidi"/>
      <w:b/>
      <w:caps/>
      <w:color w:val="FFFFFF" w:themeColor="background1"/>
      <w:spacing w:val="-10"/>
      <w:sz w:val="32"/>
      <w:szCs w:val="72"/>
      <w:shd w:val="clear" w:color="auto" w:fill="2E74B5" w:themeFill="accent1" w:themeFillShade="BF"/>
    </w:rPr>
  </w:style>
  <w:style w:type="paragraph" w:styleId="Subtitle">
    <w:name w:val="Subtitle"/>
    <w:basedOn w:val="Normal"/>
    <w:next w:val="Normal"/>
    <w:link w:val="SubtitleChar"/>
    <w:uiPriority w:val="11"/>
    <w:qFormat/>
    <w:rsid w:val="00616AAF"/>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616AAF"/>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616AAF"/>
    <w:rPr>
      <w:b/>
      <w:bCs/>
    </w:rPr>
  </w:style>
  <w:style w:type="character" w:styleId="Emphasis">
    <w:name w:val="Emphasis"/>
    <w:basedOn w:val="DefaultParagraphFont"/>
    <w:uiPriority w:val="20"/>
    <w:qFormat/>
    <w:rsid w:val="00616AAF"/>
    <w:rPr>
      <w:i/>
      <w:iCs/>
    </w:rPr>
  </w:style>
  <w:style w:type="paragraph" w:styleId="NoSpacing">
    <w:name w:val="No Spacing"/>
    <w:uiPriority w:val="1"/>
    <w:qFormat/>
    <w:rsid w:val="00616AAF"/>
    <w:pPr>
      <w:spacing w:after="0" w:line="240" w:lineRule="auto"/>
    </w:pPr>
  </w:style>
  <w:style w:type="paragraph" w:styleId="Quote">
    <w:name w:val="Quote"/>
    <w:basedOn w:val="Normal"/>
    <w:next w:val="Normal"/>
    <w:link w:val="QuoteChar"/>
    <w:uiPriority w:val="29"/>
    <w:qFormat/>
    <w:rsid w:val="00616AAF"/>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616AAF"/>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616AAF"/>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616AAF"/>
    <w:rPr>
      <w:color w:val="404040" w:themeColor="text1" w:themeTint="BF"/>
      <w:sz w:val="32"/>
      <w:szCs w:val="32"/>
    </w:rPr>
  </w:style>
  <w:style w:type="character" w:styleId="SubtleEmphasis">
    <w:name w:val="Subtle Emphasis"/>
    <w:basedOn w:val="DefaultParagraphFont"/>
    <w:uiPriority w:val="19"/>
    <w:qFormat/>
    <w:rsid w:val="00616AAF"/>
    <w:rPr>
      <w:i/>
      <w:iCs/>
      <w:color w:val="595959" w:themeColor="text1" w:themeTint="A6"/>
    </w:rPr>
  </w:style>
  <w:style w:type="character" w:styleId="IntenseEmphasis">
    <w:name w:val="Intense Emphasis"/>
    <w:basedOn w:val="DefaultParagraphFont"/>
    <w:uiPriority w:val="21"/>
    <w:qFormat/>
    <w:rsid w:val="00616AAF"/>
    <w:rPr>
      <w:b/>
      <w:bCs/>
      <w:i/>
      <w:iCs/>
    </w:rPr>
  </w:style>
  <w:style w:type="character" w:styleId="SubtleReference">
    <w:name w:val="Subtle Reference"/>
    <w:basedOn w:val="DefaultParagraphFont"/>
    <w:uiPriority w:val="31"/>
    <w:qFormat/>
    <w:rsid w:val="00616AAF"/>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16AAF"/>
    <w:rPr>
      <w:b/>
      <w:bCs/>
      <w:caps w:val="0"/>
      <w:smallCaps/>
      <w:color w:val="auto"/>
      <w:spacing w:val="3"/>
      <w:u w:val="single"/>
    </w:rPr>
  </w:style>
  <w:style w:type="character" w:styleId="BookTitle">
    <w:name w:val="Book Title"/>
    <w:basedOn w:val="DefaultParagraphFont"/>
    <w:uiPriority w:val="33"/>
    <w:qFormat/>
    <w:rsid w:val="00616AAF"/>
    <w:rPr>
      <w:b/>
      <w:bCs/>
      <w:smallCaps/>
      <w:spacing w:val="7"/>
    </w:rPr>
  </w:style>
  <w:style w:type="paragraph" w:styleId="TOCHeading">
    <w:name w:val="TOC Heading"/>
    <w:basedOn w:val="Heading1"/>
    <w:next w:val="Normal"/>
    <w:uiPriority w:val="39"/>
    <w:semiHidden/>
    <w:unhideWhenUsed/>
    <w:qFormat/>
    <w:rsid w:val="00616AAF"/>
    <w:pPr>
      <w:outlineLvl w:val="9"/>
    </w:pPr>
  </w:style>
  <w:style w:type="paragraph" w:customStyle="1" w:styleId="Style1">
    <w:name w:val="Style1"/>
    <w:basedOn w:val="Normal"/>
    <w:link w:val="Style1Char"/>
    <w:qFormat/>
    <w:rsid w:val="00194644"/>
    <w:pPr>
      <w:numPr>
        <w:numId w:val="5"/>
      </w:numPr>
      <w:tabs>
        <w:tab w:val="left" w:pos="540"/>
      </w:tabs>
      <w:spacing w:before="100" w:beforeAutospacing="1" w:after="240" w:line="276" w:lineRule="auto"/>
      <w:ind w:left="547" w:hanging="547"/>
    </w:pPr>
    <w:rPr>
      <w:lang w:val="en-US"/>
    </w:rPr>
  </w:style>
  <w:style w:type="character" w:customStyle="1" w:styleId="Style1Char">
    <w:name w:val="Style1 Char"/>
    <w:basedOn w:val="DefaultParagraphFont"/>
    <w:link w:val="Style1"/>
    <w:rsid w:val="00194644"/>
    <w:rPr>
      <w:sz w:val="24"/>
      <w:szCs w:val="24"/>
      <w:lang w:val="en-US"/>
    </w:rPr>
  </w:style>
  <w:style w:type="paragraph" w:styleId="Header">
    <w:name w:val="header"/>
    <w:basedOn w:val="Normal"/>
    <w:link w:val="HeaderChar"/>
    <w:uiPriority w:val="99"/>
    <w:unhideWhenUsed/>
    <w:rsid w:val="004340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00F"/>
  </w:style>
  <w:style w:type="paragraph" w:styleId="Footer">
    <w:name w:val="footer"/>
    <w:basedOn w:val="Normal"/>
    <w:link w:val="FooterChar"/>
    <w:uiPriority w:val="99"/>
    <w:unhideWhenUsed/>
    <w:rsid w:val="004340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00F"/>
  </w:style>
  <w:style w:type="paragraph" w:styleId="FootnoteText">
    <w:name w:val="footnote text"/>
    <w:basedOn w:val="Normal"/>
    <w:link w:val="FootnoteTextChar"/>
    <w:uiPriority w:val="99"/>
    <w:semiHidden/>
    <w:unhideWhenUsed/>
    <w:rsid w:val="006138FB"/>
    <w:pPr>
      <w:spacing w:after="0" w:line="240" w:lineRule="auto"/>
    </w:pPr>
    <w:rPr>
      <w:sz w:val="20"/>
      <w:szCs w:val="20"/>
      <w:lang w:val="en-CA" w:eastAsia="en-CA"/>
    </w:rPr>
  </w:style>
  <w:style w:type="character" w:customStyle="1" w:styleId="FootnoteTextChar">
    <w:name w:val="Footnote Text Char"/>
    <w:basedOn w:val="DefaultParagraphFont"/>
    <w:link w:val="FootnoteText"/>
    <w:uiPriority w:val="99"/>
    <w:semiHidden/>
    <w:rsid w:val="006138FB"/>
    <w:rPr>
      <w:sz w:val="20"/>
      <w:szCs w:val="20"/>
      <w:lang w:val="en-CA" w:eastAsia="en-CA"/>
    </w:rPr>
  </w:style>
  <w:style w:type="paragraph" w:styleId="ListParagraph">
    <w:name w:val="List Paragraph"/>
    <w:basedOn w:val="Normal"/>
    <w:uiPriority w:val="34"/>
    <w:qFormat/>
    <w:rsid w:val="00DE0F43"/>
    <w:pPr>
      <w:ind w:left="720"/>
      <w:contextualSpacing/>
    </w:pPr>
  </w:style>
  <w:style w:type="table" w:styleId="TableGrid">
    <w:name w:val="Table Grid"/>
    <w:basedOn w:val="TableNormal"/>
    <w:uiPriority w:val="59"/>
    <w:rsid w:val="00E51D25"/>
    <w:pPr>
      <w:spacing w:after="0" w:line="240" w:lineRule="auto"/>
    </w:pPr>
    <w:rPr>
      <w:lang w:val="en-CA"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style">
    <w:name w:val="bullet style"/>
    <w:basedOn w:val="Style1"/>
    <w:link w:val="bulletstyleChar"/>
    <w:qFormat/>
    <w:rsid w:val="00194644"/>
    <w:pPr>
      <w:numPr>
        <w:numId w:val="47"/>
      </w:numPr>
      <w:tabs>
        <w:tab w:val="clear" w:pos="540"/>
        <w:tab w:val="left" w:pos="900"/>
      </w:tabs>
      <w:spacing w:after="120" w:line="240" w:lineRule="auto"/>
      <w:ind w:left="900"/>
    </w:pPr>
  </w:style>
  <w:style w:type="paragraph" w:styleId="BalloonText">
    <w:name w:val="Balloon Text"/>
    <w:basedOn w:val="Normal"/>
    <w:link w:val="BalloonTextChar"/>
    <w:uiPriority w:val="99"/>
    <w:semiHidden/>
    <w:unhideWhenUsed/>
    <w:rsid w:val="00194644"/>
    <w:pPr>
      <w:spacing w:after="0" w:line="240" w:lineRule="auto"/>
    </w:pPr>
    <w:rPr>
      <w:rFonts w:ascii="Tahoma" w:hAnsi="Tahoma" w:cs="Tahoma"/>
      <w:sz w:val="16"/>
      <w:szCs w:val="16"/>
    </w:rPr>
  </w:style>
  <w:style w:type="character" w:customStyle="1" w:styleId="bulletstyleChar">
    <w:name w:val="bullet style Char"/>
    <w:basedOn w:val="Style1Char"/>
    <w:link w:val="bulletstyle"/>
    <w:rsid w:val="00194644"/>
  </w:style>
  <w:style w:type="character" w:customStyle="1" w:styleId="BalloonTextChar">
    <w:name w:val="Balloon Text Char"/>
    <w:basedOn w:val="DefaultParagraphFont"/>
    <w:link w:val="BalloonText"/>
    <w:uiPriority w:val="99"/>
    <w:semiHidden/>
    <w:rsid w:val="001946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386195">
      <w:bodyDiv w:val="1"/>
      <w:marLeft w:val="0"/>
      <w:marRight w:val="0"/>
      <w:marTop w:val="0"/>
      <w:marBottom w:val="0"/>
      <w:divBdr>
        <w:top w:val="none" w:sz="0" w:space="0" w:color="auto"/>
        <w:left w:val="none" w:sz="0" w:space="0" w:color="auto"/>
        <w:bottom w:val="none" w:sz="0" w:space="0" w:color="auto"/>
        <w:right w:val="none" w:sz="0" w:space="0" w:color="auto"/>
      </w:divBdr>
    </w:div>
    <w:div w:id="87972901">
      <w:bodyDiv w:val="1"/>
      <w:marLeft w:val="0"/>
      <w:marRight w:val="0"/>
      <w:marTop w:val="0"/>
      <w:marBottom w:val="0"/>
      <w:divBdr>
        <w:top w:val="none" w:sz="0" w:space="0" w:color="auto"/>
        <w:left w:val="none" w:sz="0" w:space="0" w:color="auto"/>
        <w:bottom w:val="none" w:sz="0" w:space="0" w:color="auto"/>
        <w:right w:val="none" w:sz="0" w:space="0" w:color="auto"/>
      </w:divBdr>
    </w:div>
    <w:div w:id="99960217">
      <w:bodyDiv w:val="1"/>
      <w:marLeft w:val="0"/>
      <w:marRight w:val="0"/>
      <w:marTop w:val="0"/>
      <w:marBottom w:val="0"/>
      <w:divBdr>
        <w:top w:val="none" w:sz="0" w:space="0" w:color="auto"/>
        <w:left w:val="none" w:sz="0" w:space="0" w:color="auto"/>
        <w:bottom w:val="none" w:sz="0" w:space="0" w:color="auto"/>
        <w:right w:val="none" w:sz="0" w:space="0" w:color="auto"/>
      </w:divBdr>
    </w:div>
    <w:div w:id="101919246">
      <w:bodyDiv w:val="1"/>
      <w:marLeft w:val="0"/>
      <w:marRight w:val="0"/>
      <w:marTop w:val="0"/>
      <w:marBottom w:val="0"/>
      <w:divBdr>
        <w:top w:val="none" w:sz="0" w:space="0" w:color="auto"/>
        <w:left w:val="none" w:sz="0" w:space="0" w:color="auto"/>
        <w:bottom w:val="none" w:sz="0" w:space="0" w:color="auto"/>
        <w:right w:val="none" w:sz="0" w:space="0" w:color="auto"/>
      </w:divBdr>
    </w:div>
    <w:div w:id="141236971">
      <w:bodyDiv w:val="1"/>
      <w:marLeft w:val="0"/>
      <w:marRight w:val="0"/>
      <w:marTop w:val="0"/>
      <w:marBottom w:val="0"/>
      <w:divBdr>
        <w:top w:val="none" w:sz="0" w:space="0" w:color="auto"/>
        <w:left w:val="none" w:sz="0" w:space="0" w:color="auto"/>
        <w:bottom w:val="none" w:sz="0" w:space="0" w:color="auto"/>
        <w:right w:val="none" w:sz="0" w:space="0" w:color="auto"/>
      </w:divBdr>
    </w:div>
    <w:div w:id="147016715">
      <w:bodyDiv w:val="1"/>
      <w:marLeft w:val="0"/>
      <w:marRight w:val="0"/>
      <w:marTop w:val="0"/>
      <w:marBottom w:val="0"/>
      <w:divBdr>
        <w:top w:val="none" w:sz="0" w:space="0" w:color="auto"/>
        <w:left w:val="none" w:sz="0" w:space="0" w:color="auto"/>
        <w:bottom w:val="none" w:sz="0" w:space="0" w:color="auto"/>
        <w:right w:val="none" w:sz="0" w:space="0" w:color="auto"/>
      </w:divBdr>
    </w:div>
    <w:div w:id="155801695">
      <w:bodyDiv w:val="1"/>
      <w:marLeft w:val="0"/>
      <w:marRight w:val="0"/>
      <w:marTop w:val="0"/>
      <w:marBottom w:val="0"/>
      <w:divBdr>
        <w:top w:val="none" w:sz="0" w:space="0" w:color="auto"/>
        <w:left w:val="none" w:sz="0" w:space="0" w:color="auto"/>
        <w:bottom w:val="none" w:sz="0" w:space="0" w:color="auto"/>
        <w:right w:val="none" w:sz="0" w:space="0" w:color="auto"/>
      </w:divBdr>
    </w:div>
    <w:div w:id="159003524">
      <w:bodyDiv w:val="1"/>
      <w:marLeft w:val="0"/>
      <w:marRight w:val="0"/>
      <w:marTop w:val="0"/>
      <w:marBottom w:val="0"/>
      <w:divBdr>
        <w:top w:val="none" w:sz="0" w:space="0" w:color="auto"/>
        <w:left w:val="none" w:sz="0" w:space="0" w:color="auto"/>
        <w:bottom w:val="none" w:sz="0" w:space="0" w:color="auto"/>
        <w:right w:val="none" w:sz="0" w:space="0" w:color="auto"/>
      </w:divBdr>
    </w:div>
    <w:div w:id="160708257">
      <w:bodyDiv w:val="1"/>
      <w:marLeft w:val="0"/>
      <w:marRight w:val="0"/>
      <w:marTop w:val="0"/>
      <w:marBottom w:val="0"/>
      <w:divBdr>
        <w:top w:val="none" w:sz="0" w:space="0" w:color="auto"/>
        <w:left w:val="none" w:sz="0" w:space="0" w:color="auto"/>
        <w:bottom w:val="none" w:sz="0" w:space="0" w:color="auto"/>
        <w:right w:val="none" w:sz="0" w:space="0" w:color="auto"/>
      </w:divBdr>
      <w:divsChild>
        <w:div w:id="2066761373">
          <w:marLeft w:val="432"/>
          <w:marRight w:val="0"/>
          <w:marTop w:val="125"/>
          <w:marBottom w:val="0"/>
          <w:divBdr>
            <w:top w:val="none" w:sz="0" w:space="0" w:color="auto"/>
            <w:left w:val="none" w:sz="0" w:space="0" w:color="auto"/>
            <w:bottom w:val="none" w:sz="0" w:space="0" w:color="auto"/>
            <w:right w:val="none" w:sz="0" w:space="0" w:color="auto"/>
          </w:divBdr>
        </w:div>
      </w:divsChild>
    </w:div>
    <w:div w:id="177013969">
      <w:bodyDiv w:val="1"/>
      <w:marLeft w:val="0"/>
      <w:marRight w:val="0"/>
      <w:marTop w:val="0"/>
      <w:marBottom w:val="0"/>
      <w:divBdr>
        <w:top w:val="none" w:sz="0" w:space="0" w:color="auto"/>
        <w:left w:val="none" w:sz="0" w:space="0" w:color="auto"/>
        <w:bottom w:val="none" w:sz="0" w:space="0" w:color="auto"/>
        <w:right w:val="none" w:sz="0" w:space="0" w:color="auto"/>
      </w:divBdr>
    </w:div>
    <w:div w:id="232006710">
      <w:bodyDiv w:val="1"/>
      <w:marLeft w:val="0"/>
      <w:marRight w:val="0"/>
      <w:marTop w:val="0"/>
      <w:marBottom w:val="0"/>
      <w:divBdr>
        <w:top w:val="none" w:sz="0" w:space="0" w:color="auto"/>
        <w:left w:val="none" w:sz="0" w:space="0" w:color="auto"/>
        <w:bottom w:val="none" w:sz="0" w:space="0" w:color="auto"/>
        <w:right w:val="none" w:sz="0" w:space="0" w:color="auto"/>
      </w:divBdr>
    </w:div>
    <w:div w:id="293173173">
      <w:bodyDiv w:val="1"/>
      <w:marLeft w:val="0"/>
      <w:marRight w:val="0"/>
      <w:marTop w:val="0"/>
      <w:marBottom w:val="0"/>
      <w:divBdr>
        <w:top w:val="none" w:sz="0" w:space="0" w:color="auto"/>
        <w:left w:val="none" w:sz="0" w:space="0" w:color="auto"/>
        <w:bottom w:val="none" w:sz="0" w:space="0" w:color="auto"/>
        <w:right w:val="none" w:sz="0" w:space="0" w:color="auto"/>
      </w:divBdr>
    </w:div>
    <w:div w:id="345912169">
      <w:bodyDiv w:val="1"/>
      <w:marLeft w:val="0"/>
      <w:marRight w:val="0"/>
      <w:marTop w:val="0"/>
      <w:marBottom w:val="0"/>
      <w:divBdr>
        <w:top w:val="none" w:sz="0" w:space="0" w:color="auto"/>
        <w:left w:val="none" w:sz="0" w:space="0" w:color="auto"/>
        <w:bottom w:val="none" w:sz="0" w:space="0" w:color="auto"/>
        <w:right w:val="none" w:sz="0" w:space="0" w:color="auto"/>
      </w:divBdr>
    </w:div>
    <w:div w:id="359091771">
      <w:bodyDiv w:val="1"/>
      <w:marLeft w:val="0"/>
      <w:marRight w:val="0"/>
      <w:marTop w:val="0"/>
      <w:marBottom w:val="0"/>
      <w:divBdr>
        <w:top w:val="none" w:sz="0" w:space="0" w:color="auto"/>
        <w:left w:val="none" w:sz="0" w:space="0" w:color="auto"/>
        <w:bottom w:val="none" w:sz="0" w:space="0" w:color="auto"/>
        <w:right w:val="none" w:sz="0" w:space="0" w:color="auto"/>
      </w:divBdr>
    </w:div>
    <w:div w:id="359554933">
      <w:bodyDiv w:val="1"/>
      <w:marLeft w:val="0"/>
      <w:marRight w:val="0"/>
      <w:marTop w:val="0"/>
      <w:marBottom w:val="0"/>
      <w:divBdr>
        <w:top w:val="none" w:sz="0" w:space="0" w:color="auto"/>
        <w:left w:val="none" w:sz="0" w:space="0" w:color="auto"/>
        <w:bottom w:val="none" w:sz="0" w:space="0" w:color="auto"/>
        <w:right w:val="none" w:sz="0" w:space="0" w:color="auto"/>
      </w:divBdr>
    </w:div>
    <w:div w:id="509107043">
      <w:bodyDiv w:val="1"/>
      <w:marLeft w:val="0"/>
      <w:marRight w:val="0"/>
      <w:marTop w:val="0"/>
      <w:marBottom w:val="0"/>
      <w:divBdr>
        <w:top w:val="none" w:sz="0" w:space="0" w:color="auto"/>
        <w:left w:val="none" w:sz="0" w:space="0" w:color="auto"/>
        <w:bottom w:val="none" w:sz="0" w:space="0" w:color="auto"/>
        <w:right w:val="none" w:sz="0" w:space="0" w:color="auto"/>
      </w:divBdr>
    </w:div>
    <w:div w:id="524561342">
      <w:bodyDiv w:val="1"/>
      <w:marLeft w:val="0"/>
      <w:marRight w:val="0"/>
      <w:marTop w:val="0"/>
      <w:marBottom w:val="0"/>
      <w:divBdr>
        <w:top w:val="none" w:sz="0" w:space="0" w:color="auto"/>
        <w:left w:val="none" w:sz="0" w:space="0" w:color="auto"/>
        <w:bottom w:val="none" w:sz="0" w:space="0" w:color="auto"/>
        <w:right w:val="none" w:sz="0" w:space="0" w:color="auto"/>
      </w:divBdr>
    </w:div>
    <w:div w:id="531193648">
      <w:bodyDiv w:val="1"/>
      <w:marLeft w:val="0"/>
      <w:marRight w:val="0"/>
      <w:marTop w:val="0"/>
      <w:marBottom w:val="0"/>
      <w:divBdr>
        <w:top w:val="none" w:sz="0" w:space="0" w:color="auto"/>
        <w:left w:val="none" w:sz="0" w:space="0" w:color="auto"/>
        <w:bottom w:val="none" w:sz="0" w:space="0" w:color="auto"/>
        <w:right w:val="none" w:sz="0" w:space="0" w:color="auto"/>
      </w:divBdr>
    </w:div>
    <w:div w:id="535234664">
      <w:bodyDiv w:val="1"/>
      <w:marLeft w:val="0"/>
      <w:marRight w:val="0"/>
      <w:marTop w:val="0"/>
      <w:marBottom w:val="0"/>
      <w:divBdr>
        <w:top w:val="none" w:sz="0" w:space="0" w:color="auto"/>
        <w:left w:val="none" w:sz="0" w:space="0" w:color="auto"/>
        <w:bottom w:val="none" w:sz="0" w:space="0" w:color="auto"/>
        <w:right w:val="none" w:sz="0" w:space="0" w:color="auto"/>
      </w:divBdr>
    </w:div>
    <w:div w:id="555773852">
      <w:bodyDiv w:val="1"/>
      <w:marLeft w:val="0"/>
      <w:marRight w:val="0"/>
      <w:marTop w:val="0"/>
      <w:marBottom w:val="0"/>
      <w:divBdr>
        <w:top w:val="none" w:sz="0" w:space="0" w:color="auto"/>
        <w:left w:val="none" w:sz="0" w:space="0" w:color="auto"/>
        <w:bottom w:val="none" w:sz="0" w:space="0" w:color="auto"/>
        <w:right w:val="none" w:sz="0" w:space="0" w:color="auto"/>
      </w:divBdr>
    </w:div>
    <w:div w:id="598874922">
      <w:bodyDiv w:val="1"/>
      <w:marLeft w:val="0"/>
      <w:marRight w:val="0"/>
      <w:marTop w:val="0"/>
      <w:marBottom w:val="0"/>
      <w:divBdr>
        <w:top w:val="none" w:sz="0" w:space="0" w:color="auto"/>
        <w:left w:val="none" w:sz="0" w:space="0" w:color="auto"/>
        <w:bottom w:val="none" w:sz="0" w:space="0" w:color="auto"/>
        <w:right w:val="none" w:sz="0" w:space="0" w:color="auto"/>
      </w:divBdr>
    </w:div>
    <w:div w:id="619648720">
      <w:bodyDiv w:val="1"/>
      <w:marLeft w:val="0"/>
      <w:marRight w:val="0"/>
      <w:marTop w:val="0"/>
      <w:marBottom w:val="0"/>
      <w:divBdr>
        <w:top w:val="none" w:sz="0" w:space="0" w:color="auto"/>
        <w:left w:val="none" w:sz="0" w:space="0" w:color="auto"/>
        <w:bottom w:val="none" w:sz="0" w:space="0" w:color="auto"/>
        <w:right w:val="none" w:sz="0" w:space="0" w:color="auto"/>
      </w:divBdr>
    </w:div>
    <w:div w:id="653265263">
      <w:bodyDiv w:val="1"/>
      <w:marLeft w:val="0"/>
      <w:marRight w:val="0"/>
      <w:marTop w:val="0"/>
      <w:marBottom w:val="0"/>
      <w:divBdr>
        <w:top w:val="none" w:sz="0" w:space="0" w:color="auto"/>
        <w:left w:val="none" w:sz="0" w:space="0" w:color="auto"/>
        <w:bottom w:val="none" w:sz="0" w:space="0" w:color="auto"/>
        <w:right w:val="none" w:sz="0" w:space="0" w:color="auto"/>
      </w:divBdr>
    </w:div>
    <w:div w:id="662666460">
      <w:bodyDiv w:val="1"/>
      <w:marLeft w:val="0"/>
      <w:marRight w:val="0"/>
      <w:marTop w:val="0"/>
      <w:marBottom w:val="0"/>
      <w:divBdr>
        <w:top w:val="none" w:sz="0" w:space="0" w:color="auto"/>
        <w:left w:val="none" w:sz="0" w:space="0" w:color="auto"/>
        <w:bottom w:val="none" w:sz="0" w:space="0" w:color="auto"/>
        <w:right w:val="none" w:sz="0" w:space="0" w:color="auto"/>
      </w:divBdr>
    </w:div>
    <w:div w:id="677850628">
      <w:bodyDiv w:val="1"/>
      <w:marLeft w:val="0"/>
      <w:marRight w:val="0"/>
      <w:marTop w:val="0"/>
      <w:marBottom w:val="0"/>
      <w:divBdr>
        <w:top w:val="none" w:sz="0" w:space="0" w:color="auto"/>
        <w:left w:val="none" w:sz="0" w:space="0" w:color="auto"/>
        <w:bottom w:val="none" w:sz="0" w:space="0" w:color="auto"/>
        <w:right w:val="none" w:sz="0" w:space="0" w:color="auto"/>
      </w:divBdr>
    </w:div>
    <w:div w:id="697121495">
      <w:bodyDiv w:val="1"/>
      <w:marLeft w:val="0"/>
      <w:marRight w:val="0"/>
      <w:marTop w:val="0"/>
      <w:marBottom w:val="0"/>
      <w:divBdr>
        <w:top w:val="none" w:sz="0" w:space="0" w:color="auto"/>
        <w:left w:val="none" w:sz="0" w:space="0" w:color="auto"/>
        <w:bottom w:val="none" w:sz="0" w:space="0" w:color="auto"/>
        <w:right w:val="none" w:sz="0" w:space="0" w:color="auto"/>
      </w:divBdr>
    </w:div>
    <w:div w:id="735515800">
      <w:bodyDiv w:val="1"/>
      <w:marLeft w:val="0"/>
      <w:marRight w:val="0"/>
      <w:marTop w:val="0"/>
      <w:marBottom w:val="0"/>
      <w:divBdr>
        <w:top w:val="none" w:sz="0" w:space="0" w:color="auto"/>
        <w:left w:val="none" w:sz="0" w:space="0" w:color="auto"/>
        <w:bottom w:val="none" w:sz="0" w:space="0" w:color="auto"/>
        <w:right w:val="none" w:sz="0" w:space="0" w:color="auto"/>
      </w:divBdr>
    </w:div>
    <w:div w:id="808981636">
      <w:bodyDiv w:val="1"/>
      <w:marLeft w:val="0"/>
      <w:marRight w:val="0"/>
      <w:marTop w:val="0"/>
      <w:marBottom w:val="0"/>
      <w:divBdr>
        <w:top w:val="none" w:sz="0" w:space="0" w:color="auto"/>
        <w:left w:val="none" w:sz="0" w:space="0" w:color="auto"/>
        <w:bottom w:val="none" w:sz="0" w:space="0" w:color="auto"/>
        <w:right w:val="none" w:sz="0" w:space="0" w:color="auto"/>
      </w:divBdr>
    </w:div>
    <w:div w:id="826751466">
      <w:bodyDiv w:val="1"/>
      <w:marLeft w:val="0"/>
      <w:marRight w:val="0"/>
      <w:marTop w:val="0"/>
      <w:marBottom w:val="0"/>
      <w:divBdr>
        <w:top w:val="none" w:sz="0" w:space="0" w:color="auto"/>
        <w:left w:val="none" w:sz="0" w:space="0" w:color="auto"/>
        <w:bottom w:val="none" w:sz="0" w:space="0" w:color="auto"/>
        <w:right w:val="none" w:sz="0" w:space="0" w:color="auto"/>
      </w:divBdr>
    </w:div>
    <w:div w:id="859126267">
      <w:bodyDiv w:val="1"/>
      <w:marLeft w:val="0"/>
      <w:marRight w:val="0"/>
      <w:marTop w:val="0"/>
      <w:marBottom w:val="0"/>
      <w:divBdr>
        <w:top w:val="none" w:sz="0" w:space="0" w:color="auto"/>
        <w:left w:val="none" w:sz="0" w:space="0" w:color="auto"/>
        <w:bottom w:val="none" w:sz="0" w:space="0" w:color="auto"/>
        <w:right w:val="none" w:sz="0" w:space="0" w:color="auto"/>
      </w:divBdr>
    </w:div>
    <w:div w:id="883448202">
      <w:bodyDiv w:val="1"/>
      <w:marLeft w:val="0"/>
      <w:marRight w:val="0"/>
      <w:marTop w:val="0"/>
      <w:marBottom w:val="0"/>
      <w:divBdr>
        <w:top w:val="none" w:sz="0" w:space="0" w:color="auto"/>
        <w:left w:val="none" w:sz="0" w:space="0" w:color="auto"/>
        <w:bottom w:val="none" w:sz="0" w:space="0" w:color="auto"/>
        <w:right w:val="none" w:sz="0" w:space="0" w:color="auto"/>
      </w:divBdr>
    </w:div>
    <w:div w:id="962618277">
      <w:bodyDiv w:val="1"/>
      <w:marLeft w:val="0"/>
      <w:marRight w:val="0"/>
      <w:marTop w:val="0"/>
      <w:marBottom w:val="0"/>
      <w:divBdr>
        <w:top w:val="none" w:sz="0" w:space="0" w:color="auto"/>
        <w:left w:val="none" w:sz="0" w:space="0" w:color="auto"/>
        <w:bottom w:val="none" w:sz="0" w:space="0" w:color="auto"/>
        <w:right w:val="none" w:sz="0" w:space="0" w:color="auto"/>
      </w:divBdr>
    </w:div>
    <w:div w:id="967858613">
      <w:bodyDiv w:val="1"/>
      <w:marLeft w:val="0"/>
      <w:marRight w:val="0"/>
      <w:marTop w:val="0"/>
      <w:marBottom w:val="0"/>
      <w:divBdr>
        <w:top w:val="none" w:sz="0" w:space="0" w:color="auto"/>
        <w:left w:val="none" w:sz="0" w:space="0" w:color="auto"/>
        <w:bottom w:val="none" w:sz="0" w:space="0" w:color="auto"/>
        <w:right w:val="none" w:sz="0" w:space="0" w:color="auto"/>
      </w:divBdr>
    </w:div>
    <w:div w:id="994336226">
      <w:bodyDiv w:val="1"/>
      <w:marLeft w:val="0"/>
      <w:marRight w:val="0"/>
      <w:marTop w:val="0"/>
      <w:marBottom w:val="0"/>
      <w:divBdr>
        <w:top w:val="none" w:sz="0" w:space="0" w:color="auto"/>
        <w:left w:val="none" w:sz="0" w:space="0" w:color="auto"/>
        <w:bottom w:val="none" w:sz="0" w:space="0" w:color="auto"/>
        <w:right w:val="none" w:sz="0" w:space="0" w:color="auto"/>
      </w:divBdr>
    </w:div>
    <w:div w:id="1022051429">
      <w:bodyDiv w:val="1"/>
      <w:marLeft w:val="0"/>
      <w:marRight w:val="0"/>
      <w:marTop w:val="0"/>
      <w:marBottom w:val="0"/>
      <w:divBdr>
        <w:top w:val="none" w:sz="0" w:space="0" w:color="auto"/>
        <w:left w:val="none" w:sz="0" w:space="0" w:color="auto"/>
        <w:bottom w:val="none" w:sz="0" w:space="0" w:color="auto"/>
        <w:right w:val="none" w:sz="0" w:space="0" w:color="auto"/>
      </w:divBdr>
    </w:div>
    <w:div w:id="1095446110">
      <w:bodyDiv w:val="1"/>
      <w:marLeft w:val="0"/>
      <w:marRight w:val="0"/>
      <w:marTop w:val="0"/>
      <w:marBottom w:val="0"/>
      <w:divBdr>
        <w:top w:val="none" w:sz="0" w:space="0" w:color="auto"/>
        <w:left w:val="none" w:sz="0" w:space="0" w:color="auto"/>
        <w:bottom w:val="none" w:sz="0" w:space="0" w:color="auto"/>
        <w:right w:val="none" w:sz="0" w:space="0" w:color="auto"/>
      </w:divBdr>
    </w:div>
    <w:div w:id="1155991985">
      <w:bodyDiv w:val="1"/>
      <w:marLeft w:val="0"/>
      <w:marRight w:val="0"/>
      <w:marTop w:val="0"/>
      <w:marBottom w:val="0"/>
      <w:divBdr>
        <w:top w:val="none" w:sz="0" w:space="0" w:color="auto"/>
        <w:left w:val="none" w:sz="0" w:space="0" w:color="auto"/>
        <w:bottom w:val="none" w:sz="0" w:space="0" w:color="auto"/>
        <w:right w:val="none" w:sz="0" w:space="0" w:color="auto"/>
      </w:divBdr>
    </w:div>
    <w:div w:id="1181432621">
      <w:bodyDiv w:val="1"/>
      <w:marLeft w:val="0"/>
      <w:marRight w:val="0"/>
      <w:marTop w:val="0"/>
      <w:marBottom w:val="0"/>
      <w:divBdr>
        <w:top w:val="none" w:sz="0" w:space="0" w:color="auto"/>
        <w:left w:val="none" w:sz="0" w:space="0" w:color="auto"/>
        <w:bottom w:val="none" w:sz="0" w:space="0" w:color="auto"/>
        <w:right w:val="none" w:sz="0" w:space="0" w:color="auto"/>
      </w:divBdr>
    </w:div>
    <w:div w:id="1184711720">
      <w:bodyDiv w:val="1"/>
      <w:marLeft w:val="0"/>
      <w:marRight w:val="0"/>
      <w:marTop w:val="0"/>
      <w:marBottom w:val="0"/>
      <w:divBdr>
        <w:top w:val="none" w:sz="0" w:space="0" w:color="auto"/>
        <w:left w:val="none" w:sz="0" w:space="0" w:color="auto"/>
        <w:bottom w:val="none" w:sz="0" w:space="0" w:color="auto"/>
        <w:right w:val="none" w:sz="0" w:space="0" w:color="auto"/>
      </w:divBdr>
    </w:div>
    <w:div w:id="1242645641">
      <w:bodyDiv w:val="1"/>
      <w:marLeft w:val="0"/>
      <w:marRight w:val="0"/>
      <w:marTop w:val="0"/>
      <w:marBottom w:val="0"/>
      <w:divBdr>
        <w:top w:val="none" w:sz="0" w:space="0" w:color="auto"/>
        <w:left w:val="none" w:sz="0" w:space="0" w:color="auto"/>
        <w:bottom w:val="none" w:sz="0" w:space="0" w:color="auto"/>
        <w:right w:val="none" w:sz="0" w:space="0" w:color="auto"/>
      </w:divBdr>
    </w:div>
    <w:div w:id="1312950052">
      <w:bodyDiv w:val="1"/>
      <w:marLeft w:val="0"/>
      <w:marRight w:val="0"/>
      <w:marTop w:val="0"/>
      <w:marBottom w:val="0"/>
      <w:divBdr>
        <w:top w:val="none" w:sz="0" w:space="0" w:color="auto"/>
        <w:left w:val="none" w:sz="0" w:space="0" w:color="auto"/>
        <w:bottom w:val="none" w:sz="0" w:space="0" w:color="auto"/>
        <w:right w:val="none" w:sz="0" w:space="0" w:color="auto"/>
      </w:divBdr>
    </w:div>
    <w:div w:id="1323388505">
      <w:bodyDiv w:val="1"/>
      <w:marLeft w:val="0"/>
      <w:marRight w:val="0"/>
      <w:marTop w:val="0"/>
      <w:marBottom w:val="0"/>
      <w:divBdr>
        <w:top w:val="none" w:sz="0" w:space="0" w:color="auto"/>
        <w:left w:val="none" w:sz="0" w:space="0" w:color="auto"/>
        <w:bottom w:val="none" w:sz="0" w:space="0" w:color="auto"/>
        <w:right w:val="none" w:sz="0" w:space="0" w:color="auto"/>
      </w:divBdr>
    </w:div>
    <w:div w:id="1330865312">
      <w:bodyDiv w:val="1"/>
      <w:marLeft w:val="0"/>
      <w:marRight w:val="0"/>
      <w:marTop w:val="0"/>
      <w:marBottom w:val="0"/>
      <w:divBdr>
        <w:top w:val="none" w:sz="0" w:space="0" w:color="auto"/>
        <w:left w:val="none" w:sz="0" w:space="0" w:color="auto"/>
        <w:bottom w:val="none" w:sz="0" w:space="0" w:color="auto"/>
        <w:right w:val="none" w:sz="0" w:space="0" w:color="auto"/>
      </w:divBdr>
    </w:div>
    <w:div w:id="1338268121">
      <w:bodyDiv w:val="1"/>
      <w:marLeft w:val="0"/>
      <w:marRight w:val="0"/>
      <w:marTop w:val="0"/>
      <w:marBottom w:val="0"/>
      <w:divBdr>
        <w:top w:val="none" w:sz="0" w:space="0" w:color="auto"/>
        <w:left w:val="none" w:sz="0" w:space="0" w:color="auto"/>
        <w:bottom w:val="none" w:sz="0" w:space="0" w:color="auto"/>
        <w:right w:val="none" w:sz="0" w:space="0" w:color="auto"/>
      </w:divBdr>
    </w:div>
    <w:div w:id="1361122246">
      <w:bodyDiv w:val="1"/>
      <w:marLeft w:val="0"/>
      <w:marRight w:val="0"/>
      <w:marTop w:val="0"/>
      <w:marBottom w:val="0"/>
      <w:divBdr>
        <w:top w:val="none" w:sz="0" w:space="0" w:color="auto"/>
        <w:left w:val="none" w:sz="0" w:space="0" w:color="auto"/>
        <w:bottom w:val="none" w:sz="0" w:space="0" w:color="auto"/>
        <w:right w:val="none" w:sz="0" w:space="0" w:color="auto"/>
      </w:divBdr>
    </w:div>
    <w:div w:id="1368069194">
      <w:bodyDiv w:val="1"/>
      <w:marLeft w:val="0"/>
      <w:marRight w:val="0"/>
      <w:marTop w:val="0"/>
      <w:marBottom w:val="0"/>
      <w:divBdr>
        <w:top w:val="none" w:sz="0" w:space="0" w:color="auto"/>
        <w:left w:val="none" w:sz="0" w:space="0" w:color="auto"/>
        <w:bottom w:val="none" w:sz="0" w:space="0" w:color="auto"/>
        <w:right w:val="none" w:sz="0" w:space="0" w:color="auto"/>
      </w:divBdr>
    </w:div>
    <w:div w:id="1375885087">
      <w:bodyDiv w:val="1"/>
      <w:marLeft w:val="0"/>
      <w:marRight w:val="0"/>
      <w:marTop w:val="0"/>
      <w:marBottom w:val="0"/>
      <w:divBdr>
        <w:top w:val="none" w:sz="0" w:space="0" w:color="auto"/>
        <w:left w:val="none" w:sz="0" w:space="0" w:color="auto"/>
        <w:bottom w:val="none" w:sz="0" w:space="0" w:color="auto"/>
        <w:right w:val="none" w:sz="0" w:space="0" w:color="auto"/>
      </w:divBdr>
    </w:div>
    <w:div w:id="1376659899">
      <w:bodyDiv w:val="1"/>
      <w:marLeft w:val="0"/>
      <w:marRight w:val="0"/>
      <w:marTop w:val="0"/>
      <w:marBottom w:val="0"/>
      <w:divBdr>
        <w:top w:val="none" w:sz="0" w:space="0" w:color="auto"/>
        <w:left w:val="none" w:sz="0" w:space="0" w:color="auto"/>
        <w:bottom w:val="none" w:sz="0" w:space="0" w:color="auto"/>
        <w:right w:val="none" w:sz="0" w:space="0" w:color="auto"/>
      </w:divBdr>
    </w:div>
    <w:div w:id="1383752357">
      <w:bodyDiv w:val="1"/>
      <w:marLeft w:val="0"/>
      <w:marRight w:val="0"/>
      <w:marTop w:val="0"/>
      <w:marBottom w:val="0"/>
      <w:divBdr>
        <w:top w:val="none" w:sz="0" w:space="0" w:color="auto"/>
        <w:left w:val="none" w:sz="0" w:space="0" w:color="auto"/>
        <w:bottom w:val="none" w:sz="0" w:space="0" w:color="auto"/>
        <w:right w:val="none" w:sz="0" w:space="0" w:color="auto"/>
      </w:divBdr>
    </w:div>
    <w:div w:id="1394427120">
      <w:bodyDiv w:val="1"/>
      <w:marLeft w:val="0"/>
      <w:marRight w:val="0"/>
      <w:marTop w:val="0"/>
      <w:marBottom w:val="0"/>
      <w:divBdr>
        <w:top w:val="none" w:sz="0" w:space="0" w:color="auto"/>
        <w:left w:val="none" w:sz="0" w:space="0" w:color="auto"/>
        <w:bottom w:val="none" w:sz="0" w:space="0" w:color="auto"/>
        <w:right w:val="none" w:sz="0" w:space="0" w:color="auto"/>
      </w:divBdr>
    </w:div>
    <w:div w:id="1409307620">
      <w:bodyDiv w:val="1"/>
      <w:marLeft w:val="0"/>
      <w:marRight w:val="0"/>
      <w:marTop w:val="0"/>
      <w:marBottom w:val="0"/>
      <w:divBdr>
        <w:top w:val="none" w:sz="0" w:space="0" w:color="auto"/>
        <w:left w:val="none" w:sz="0" w:space="0" w:color="auto"/>
        <w:bottom w:val="none" w:sz="0" w:space="0" w:color="auto"/>
        <w:right w:val="none" w:sz="0" w:space="0" w:color="auto"/>
      </w:divBdr>
    </w:div>
    <w:div w:id="1411544066">
      <w:bodyDiv w:val="1"/>
      <w:marLeft w:val="0"/>
      <w:marRight w:val="0"/>
      <w:marTop w:val="0"/>
      <w:marBottom w:val="0"/>
      <w:divBdr>
        <w:top w:val="none" w:sz="0" w:space="0" w:color="auto"/>
        <w:left w:val="none" w:sz="0" w:space="0" w:color="auto"/>
        <w:bottom w:val="none" w:sz="0" w:space="0" w:color="auto"/>
        <w:right w:val="none" w:sz="0" w:space="0" w:color="auto"/>
      </w:divBdr>
    </w:div>
    <w:div w:id="1423146185">
      <w:bodyDiv w:val="1"/>
      <w:marLeft w:val="0"/>
      <w:marRight w:val="0"/>
      <w:marTop w:val="0"/>
      <w:marBottom w:val="0"/>
      <w:divBdr>
        <w:top w:val="none" w:sz="0" w:space="0" w:color="auto"/>
        <w:left w:val="none" w:sz="0" w:space="0" w:color="auto"/>
        <w:bottom w:val="none" w:sz="0" w:space="0" w:color="auto"/>
        <w:right w:val="none" w:sz="0" w:space="0" w:color="auto"/>
      </w:divBdr>
    </w:div>
    <w:div w:id="1425229883">
      <w:bodyDiv w:val="1"/>
      <w:marLeft w:val="0"/>
      <w:marRight w:val="0"/>
      <w:marTop w:val="0"/>
      <w:marBottom w:val="0"/>
      <w:divBdr>
        <w:top w:val="none" w:sz="0" w:space="0" w:color="auto"/>
        <w:left w:val="none" w:sz="0" w:space="0" w:color="auto"/>
        <w:bottom w:val="none" w:sz="0" w:space="0" w:color="auto"/>
        <w:right w:val="none" w:sz="0" w:space="0" w:color="auto"/>
      </w:divBdr>
    </w:div>
    <w:div w:id="1465851738">
      <w:bodyDiv w:val="1"/>
      <w:marLeft w:val="0"/>
      <w:marRight w:val="0"/>
      <w:marTop w:val="0"/>
      <w:marBottom w:val="0"/>
      <w:divBdr>
        <w:top w:val="none" w:sz="0" w:space="0" w:color="auto"/>
        <w:left w:val="none" w:sz="0" w:space="0" w:color="auto"/>
        <w:bottom w:val="none" w:sz="0" w:space="0" w:color="auto"/>
        <w:right w:val="none" w:sz="0" w:space="0" w:color="auto"/>
      </w:divBdr>
    </w:div>
    <w:div w:id="1488589106">
      <w:bodyDiv w:val="1"/>
      <w:marLeft w:val="0"/>
      <w:marRight w:val="0"/>
      <w:marTop w:val="0"/>
      <w:marBottom w:val="0"/>
      <w:divBdr>
        <w:top w:val="none" w:sz="0" w:space="0" w:color="auto"/>
        <w:left w:val="none" w:sz="0" w:space="0" w:color="auto"/>
        <w:bottom w:val="none" w:sz="0" w:space="0" w:color="auto"/>
        <w:right w:val="none" w:sz="0" w:space="0" w:color="auto"/>
      </w:divBdr>
    </w:div>
    <w:div w:id="1546409040">
      <w:bodyDiv w:val="1"/>
      <w:marLeft w:val="0"/>
      <w:marRight w:val="0"/>
      <w:marTop w:val="0"/>
      <w:marBottom w:val="0"/>
      <w:divBdr>
        <w:top w:val="none" w:sz="0" w:space="0" w:color="auto"/>
        <w:left w:val="none" w:sz="0" w:space="0" w:color="auto"/>
        <w:bottom w:val="none" w:sz="0" w:space="0" w:color="auto"/>
        <w:right w:val="none" w:sz="0" w:space="0" w:color="auto"/>
      </w:divBdr>
    </w:div>
    <w:div w:id="1558859765">
      <w:bodyDiv w:val="1"/>
      <w:marLeft w:val="0"/>
      <w:marRight w:val="0"/>
      <w:marTop w:val="0"/>
      <w:marBottom w:val="0"/>
      <w:divBdr>
        <w:top w:val="none" w:sz="0" w:space="0" w:color="auto"/>
        <w:left w:val="none" w:sz="0" w:space="0" w:color="auto"/>
        <w:bottom w:val="none" w:sz="0" w:space="0" w:color="auto"/>
        <w:right w:val="none" w:sz="0" w:space="0" w:color="auto"/>
      </w:divBdr>
    </w:div>
    <w:div w:id="1568614810">
      <w:bodyDiv w:val="1"/>
      <w:marLeft w:val="0"/>
      <w:marRight w:val="0"/>
      <w:marTop w:val="0"/>
      <w:marBottom w:val="0"/>
      <w:divBdr>
        <w:top w:val="none" w:sz="0" w:space="0" w:color="auto"/>
        <w:left w:val="none" w:sz="0" w:space="0" w:color="auto"/>
        <w:bottom w:val="none" w:sz="0" w:space="0" w:color="auto"/>
        <w:right w:val="none" w:sz="0" w:space="0" w:color="auto"/>
      </w:divBdr>
    </w:div>
    <w:div w:id="1596788174">
      <w:bodyDiv w:val="1"/>
      <w:marLeft w:val="0"/>
      <w:marRight w:val="0"/>
      <w:marTop w:val="0"/>
      <w:marBottom w:val="0"/>
      <w:divBdr>
        <w:top w:val="none" w:sz="0" w:space="0" w:color="auto"/>
        <w:left w:val="none" w:sz="0" w:space="0" w:color="auto"/>
        <w:bottom w:val="none" w:sz="0" w:space="0" w:color="auto"/>
        <w:right w:val="none" w:sz="0" w:space="0" w:color="auto"/>
      </w:divBdr>
    </w:div>
    <w:div w:id="1627815315">
      <w:bodyDiv w:val="1"/>
      <w:marLeft w:val="0"/>
      <w:marRight w:val="0"/>
      <w:marTop w:val="0"/>
      <w:marBottom w:val="0"/>
      <w:divBdr>
        <w:top w:val="none" w:sz="0" w:space="0" w:color="auto"/>
        <w:left w:val="none" w:sz="0" w:space="0" w:color="auto"/>
        <w:bottom w:val="none" w:sz="0" w:space="0" w:color="auto"/>
        <w:right w:val="none" w:sz="0" w:space="0" w:color="auto"/>
      </w:divBdr>
    </w:div>
    <w:div w:id="1635214574">
      <w:bodyDiv w:val="1"/>
      <w:marLeft w:val="0"/>
      <w:marRight w:val="0"/>
      <w:marTop w:val="0"/>
      <w:marBottom w:val="0"/>
      <w:divBdr>
        <w:top w:val="none" w:sz="0" w:space="0" w:color="auto"/>
        <w:left w:val="none" w:sz="0" w:space="0" w:color="auto"/>
        <w:bottom w:val="none" w:sz="0" w:space="0" w:color="auto"/>
        <w:right w:val="none" w:sz="0" w:space="0" w:color="auto"/>
      </w:divBdr>
    </w:div>
    <w:div w:id="1716270642">
      <w:bodyDiv w:val="1"/>
      <w:marLeft w:val="0"/>
      <w:marRight w:val="0"/>
      <w:marTop w:val="0"/>
      <w:marBottom w:val="0"/>
      <w:divBdr>
        <w:top w:val="none" w:sz="0" w:space="0" w:color="auto"/>
        <w:left w:val="none" w:sz="0" w:space="0" w:color="auto"/>
        <w:bottom w:val="none" w:sz="0" w:space="0" w:color="auto"/>
        <w:right w:val="none" w:sz="0" w:space="0" w:color="auto"/>
      </w:divBdr>
    </w:div>
    <w:div w:id="1739130203">
      <w:bodyDiv w:val="1"/>
      <w:marLeft w:val="0"/>
      <w:marRight w:val="0"/>
      <w:marTop w:val="0"/>
      <w:marBottom w:val="0"/>
      <w:divBdr>
        <w:top w:val="none" w:sz="0" w:space="0" w:color="auto"/>
        <w:left w:val="none" w:sz="0" w:space="0" w:color="auto"/>
        <w:bottom w:val="none" w:sz="0" w:space="0" w:color="auto"/>
        <w:right w:val="none" w:sz="0" w:space="0" w:color="auto"/>
      </w:divBdr>
    </w:div>
    <w:div w:id="1800956131">
      <w:bodyDiv w:val="1"/>
      <w:marLeft w:val="0"/>
      <w:marRight w:val="0"/>
      <w:marTop w:val="0"/>
      <w:marBottom w:val="0"/>
      <w:divBdr>
        <w:top w:val="none" w:sz="0" w:space="0" w:color="auto"/>
        <w:left w:val="none" w:sz="0" w:space="0" w:color="auto"/>
        <w:bottom w:val="none" w:sz="0" w:space="0" w:color="auto"/>
        <w:right w:val="none" w:sz="0" w:space="0" w:color="auto"/>
      </w:divBdr>
    </w:div>
    <w:div w:id="1802767429">
      <w:bodyDiv w:val="1"/>
      <w:marLeft w:val="0"/>
      <w:marRight w:val="0"/>
      <w:marTop w:val="0"/>
      <w:marBottom w:val="0"/>
      <w:divBdr>
        <w:top w:val="none" w:sz="0" w:space="0" w:color="auto"/>
        <w:left w:val="none" w:sz="0" w:space="0" w:color="auto"/>
        <w:bottom w:val="none" w:sz="0" w:space="0" w:color="auto"/>
        <w:right w:val="none" w:sz="0" w:space="0" w:color="auto"/>
      </w:divBdr>
    </w:div>
    <w:div w:id="1821463034">
      <w:bodyDiv w:val="1"/>
      <w:marLeft w:val="0"/>
      <w:marRight w:val="0"/>
      <w:marTop w:val="0"/>
      <w:marBottom w:val="0"/>
      <w:divBdr>
        <w:top w:val="none" w:sz="0" w:space="0" w:color="auto"/>
        <w:left w:val="none" w:sz="0" w:space="0" w:color="auto"/>
        <w:bottom w:val="none" w:sz="0" w:space="0" w:color="auto"/>
        <w:right w:val="none" w:sz="0" w:space="0" w:color="auto"/>
      </w:divBdr>
    </w:div>
    <w:div w:id="1826428932">
      <w:bodyDiv w:val="1"/>
      <w:marLeft w:val="0"/>
      <w:marRight w:val="0"/>
      <w:marTop w:val="0"/>
      <w:marBottom w:val="0"/>
      <w:divBdr>
        <w:top w:val="none" w:sz="0" w:space="0" w:color="auto"/>
        <w:left w:val="none" w:sz="0" w:space="0" w:color="auto"/>
        <w:bottom w:val="none" w:sz="0" w:space="0" w:color="auto"/>
        <w:right w:val="none" w:sz="0" w:space="0" w:color="auto"/>
      </w:divBdr>
    </w:div>
    <w:div w:id="1839037384">
      <w:bodyDiv w:val="1"/>
      <w:marLeft w:val="0"/>
      <w:marRight w:val="0"/>
      <w:marTop w:val="0"/>
      <w:marBottom w:val="0"/>
      <w:divBdr>
        <w:top w:val="none" w:sz="0" w:space="0" w:color="auto"/>
        <w:left w:val="none" w:sz="0" w:space="0" w:color="auto"/>
        <w:bottom w:val="none" w:sz="0" w:space="0" w:color="auto"/>
        <w:right w:val="none" w:sz="0" w:space="0" w:color="auto"/>
      </w:divBdr>
    </w:div>
    <w:div w:id="1845630112">
      <w:bodyDiv w:val="1"/>
      <w:marLeft w:val="0"/>
      <w:marRight w:val="0"/>
      <w:marTop w:val="0"/>
      <w:marBottom w:val="0"/>
      <w:divBdr>
        <w:top w:val="none" w:sz="0" w:space="0" w:color="auto"/>
        <w:left w:val="none" w:sz="0" w:space="0" w:color="auto"/>
        <w:bottom w:val="none" w:sz="0" w:space="0" w:color="auto"/>
        <w:right w:val="none" w:sz="0" w:space="0" w:color="auto"/>
      </w:divBdr>
    </w:div>
    <w:div w:id="1884948377">
      <w:bodyDiv w:val="1"/>
      <w:marLeft w:val="0"/>
      <w:marRight w:val="0"/>
      <w:marTop w:val="0"/>
      <w:marBottom w:val="0"/>
      <w:divBdr>
        <w:top w:val="none" w:sz="0" w:space="0" w:color="auto"/>
        <w:left w:val="none" w:sz="0" w:space="0" w:color="auto"/>
        <w:bottom w:val="none" w:sz="0" w:space="0" w:color="auto"/>
        <w:right w:val="none" w:sz="0" w:space="0" w:color="auto"/>
      </w:divBdr>
    </w:div>
    <w:div w:id="1895652991">
      <w:bodyDiv w:val="1"/>
      <w:marLeft w:val="0"/>
      <w:marRight w:val="0"/>
      <w:marTop w:val="0"/>
      <w:marBottom w:val="0"/>
      <w:divBdr>
        <w:top w:val="none" w:sz="0" w:space="0" w:color="auto"/>
        <w:left w:val="none" w:sz="0" w:space="0" w:color="auto"/>
        <w:bottom w:val="none" w:sz="0" w:space="0" w:color="auto"/>
        <w:right w:val="none" w:sz="0" w:space="0" w:color="auto"/>
      </w:divBdr>
    </w:div>
    <w:div w:id="1901209320">
      <w:bodyDiv w:val="1"/>
      <w:marLeft w:val="0"/>
      <w:marRight w:val="0"/>
      <w:marTop w:val="0"/>
      <w:marBottom w:val="0"/>
      <w:divBdr>
        <w:top w:val="none" w:sz="0" w:space="0" w:color="auto"/>
        <w:left w:val="none" w:sz="0" w:space="0" w:color="auto"/>
        <w:bottom w:val="none" w:sz="0" w:space="0" w:color="auto"/>
        <w:right w:val="none" w:sz="0" w:space="0" w:color="auto"/>
      </w:divBdr>
    </w:div>
    <w:div w:id="1998262085">
      <w:bodyDiv w:val="1"/>
      <w:marLeft w:val="0"/>
      <w:marRight w:val="0"/>
      <w:marTop w:val="0"/>
      <w:marBottom w:val="0"/>
      <w:divBdr>
        <w:top w:val="none" w:sz="0" w:space="0" w:color="auto"/>
        <w:left w:val="none" w:sz="0" w:space="0" w:color="auto"/>
        <w:bottom w:val="none" w:sz="0" w:space="0" w:color="auto"/>
        <w:right w:val="none" w:sz="0" w:space="0" w:color="auto"/>
      </w:divBdr>
    </w:div>
    <w:div w:id="2007633686">
      <w:bodyDiv w:val="1"/>
      <w:marLeft w:val="0"/>
      <w:marRight w:val="0"/>
      <w:marTop w:val="0"/>
      <w:marBottom w:val="0"/>
      <w:divBdr>
        <w:top w:val="none" w:sz="0" w:space="0" w:color="auto"/>
        <w:left w:val="none" w:sz="0" w:space="0" w:color="auto"/>
        <w:bottom w:val="none" w:sz="0" w:space="0" w:color="auto"/>
        <w:right w:val="none" w:sz="0" w:space="0" w:color="auto"/>
      </w:divBdr>
    </w:div>
    <w:div w:id="2021661314">
      <w:bodyDiv w:val="1"/>
      <w:marLeft w:val="0"/>
      <w:marRight w:val="0"/>
      <w:marTop w:val="0"/>
      <w:marBottom w:val="0"/>
      <w:divBdr>
        <w:top w:val="none" w:sz="0" w:space="0" w:color="auto"/>
        <w:left w:val="none" w:sz="0" w:space="0" w:color="auto"/>
        <w:bottom w:val="none" w:sz="0" w:space="0" w:color="auto"/>
        <w:right w:val="none" w:sz="0" w:space="0" w:color="auto"/>
      </w:divBdr>
    </w:div>
    <w:div w:id="2023168980">
      <w:bodyDiv w:val="1"/>
      <w:marLeft w:val="0"/>
      <w:marRight w:val="0"/>
      <w:marTop w:val="0"/>
      <w:marBottom w:val="0"/>
      <w:divBdr>
        <w:top w:val="none" w:sz="0" w:space="0" w:color="auto"/>
        <w:left w:val="none" w:sz="0" w:space="0" w:color="auto"/>
        <w:bottom w:val="none" w:sz="0" w:space="0" w:color="auto"/>
        <w:right w:val="none" w:sz="0" w:space="0" w:color="auto"/>
      </w:divBdr>
    </w:div>
    <w:div w:id="2084404570">
      <w:bodyDiv w:val="1"/>
      <w:marLeft w:val="0"/>
      <w:marRight w:val="0"/>
      <w:marTop w:val="0"/>
      <w:marBottom w:val="0"/>
      <w:divBdr>
        <w:top w:val="none" w:sz="0" w:space="0" w:color="auto"/>
        <w:left w:val="none" w:sz="0" w:space="0" w:color="auto"/>
        <w:bottom w:val="none" w:sz="0" w:space="0" w:color="auto"/>
        <w:right w:val="none" w:sz="0" w:space="0" w:color="auto"/>
      </w:divBdr>
    </w:div>
    <w:div w:id="2094744631">
      <w:bodyDiv w:val="1"/>
      <w:marLeft w:val="0"/>
      <w:marRight w:val="0"/>
      <w:marTop w:val="0"/>
      <w:marBottom w:val="0"/>
      <w:divBdr>
        <w:top w:val="none" w:sz="0" w:space="0" w:color="auto"/>
        <w:left w:val="none" w:sz="0" w:space="0" w:color="auto"/>
        <w:bottom w:val="none" w:sz="0" w:space="0" w:color="auto"/>
        <w:right w:val="none" w:sz="0" w:space="0" w:color="auto"/>
      </w:divBdr>
    </w:div>
    <w:div w:id="211439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E3312-E8A8-4DEE-9531-D40E36421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ANNEX 3 – FINANCIAL ANALYSIS OF TCN</vt:lpstr>
    </vt:vector>
  </TitlesOfParts>
  <Company/>
  <LinksUpToDate>false</LinksUpToDate>
  <CharactersWithSpaces>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3 – FINANCIAL ANALYSIS OF TCN</dc:title>
  <dc:creator>Gulam Dhalla</dc:creator>
  <cp:lastModifiedBy>tsimpson</cp:lastModifiedBy>
  <cp:revision>5</cp:revision>
  <dcterms:created xsi:type="dcterms:W3CDTF">2014-03-15T14:25:00Z</dcterms:created>
  <dcterms:modified xsi:type="dcterms:W3CDTF">2014-03-15T14:44:00Z</dcterms:modified>
</cp:coreProperties>
</file>