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E0B" w:rsidRPr="0043551B" w:rsidRDefault="001C7E0B" w:rsidP="00C341B0">
      <w:pPr>
        <w:pStyle w:val="t"/>
        <w:spacing w:after="0"/>
        <w:rPr>
          <w:b/>
          <w:sz w:val="40"/>
          <w:szCs w:val="40"/>
          <w:lang w:val="en-GB"/>
        </w:rPr>
      </w:pPr>
      <w:r w:rsidRPr="0043551B">
        <w:rPr>
          <w:b/>
          <w:sz w:val="40"/>
          <w:szCs w:val="40"/>
          <w:lang w:val="en-GB"/>
        </w:rPr>
        <w:t>Annex 2</w:t>
      </w:r>
    </w:p>
    <w:p w:rsidR="0059091D" w:rsidRDefault="001C7E0B" w:rsidP="00C341B0">
      <w:pPr>
        <w:pStyle w:val="t"/>
        <w:spacing w:after="0"/>
        <w:rPr>
          <w:b/>
          <w:sz w:val="40"/>
          <w:szCs w:val="40"/>
          <w:lang w:val="en-GB"/>
        </w:rPr>
      </w:pPr>
      <w:r w:rsidRPr="000C23E4">
        <w:rPr>
          <w:sz w:val="20"/>
          <w:szCs w:val="20"/>
          <w:lang w:val="en-GB"/>
        </w:rPr>
        <w:br/>
      </w:r>
      <w:r w:rsidRPr="001C7E0B">
        <w:rPr>
          <w:b/>
          <w:sz w:val="40"/>
          <w:szCs w:val="40"/>
          <w:lang w:val="en-GB"/>
        </w:rPr>
        <w:t>Economic B</w:t>
      </w:r>
      <w:r w:rsidR="000E704D" w:rsidRPr="001C7E0B">
        <w:rPr>
          <w:b/>
          <w:sz w:val="40"/>
          <w:szCs w:val="40"/>
          <w:lang w:val="en-GB"/>
        </w:rPr>
        <w:t>enefit Assessment</w:t>
      </w:r>
      <w:r w:rsidRPr="001C7E0B">
        <w:rPr>
          <w:b/>
          <w:sz w:val="40"/>
          <w:szCs w:val="40"/>
          <w:lang w:val="en-GB"/>
        </w:rPr>
        <w:t xml:space="preserve"> of Financing Package 2</w:t>
      </w:r>
    </w:p>
    <w:p w:rsidR="00C341B0" w:rsidRPr="000C23E4" w:rsidRDefault="00C341B0" w:rsidP="00C341B0">
      <w:pPr>
        <w:pStyle w:val="t"/>
        <w:spacing w:after="0"/>
        <w:rPr>
          <w:b/>
          <w:sz w:val="20"/>
          <w:szCs w:val="20"/>
          <w:lang w:val="en-GB"/>
        </w:rPr>
      </w:pPr>
    </w:p>
    <w:p w:rsidR="001C7E0B" w:rsidRDefault="001C7E0B" w:rsidP="001C7E0B">
      <w:pPr>
        <w:pStyle w:val="t"/>
        <w:rPr>
          <w:lang w:val="en-GB"/>
        </w:rPr>
      </w:pPr>
    </w:p>
    <w:p w:rsidR="00824C3F" w:rsidRPr="001C7E0B" w:rsidRDefault="00824C3F" w:rsidP="001C7E0B">
      <w:pPr>
        <w:pStyle w:val="Heading1"/>
      </w:pPr>
      <w:bookmarkStart w:id="0" w:name="_Toc381199836"/>
      <w:r w:rsidRPr="001C7E0B">
        <w:t>Assumptions and Conditions for Benefit-Cost Assessment</w:t>
      </w:r>
      <w:bookmarkEnd w:id="0"/>
    </w:p>
    <w:p w:rsidR="00702F02" w:rsidRPr="008F5622" w:rsidRDefault="008225C9" w:rsidP="001C7E0B">
      <w:pPr>
        <w:pStyle w:val="t"/>
        <w:rPr>
          <w:snapToGrid w:val="0"/>
          <w:lang w:val="en-GB"/>
        </w:rPr>
      </w:pPr>
      <w:r w:rsidRPr="008F5622">
        <w:rPr>
          <w:rFonts w:hint="eastAsia"/>
          <w:snapToGrid w:val="0"/>
          <w:lang w:val="en-GB"/>
        </w:rPr>
        <w:t>In this pre</w:t>
      </w:r>
      <w:r w:rsidR="001220A4">
        <w:rPr>
          <w:snapToGrid w:val="0"/>
          <w:lang w:val="en-GB"/>
        </w:rPr>
        <w:t>-</w:t>
      </w:r>
      <w:r w:rsidR="001C7E0B">
        <w:rPr>
          <w:snapToGrid w:val="0"/>
          <w:lang w:val="en-GB"/>
        </w:rPr>
        <w:t>feasibility study</w:t>
      </w:r>
      <w:r w:rsidRPr="008F5622">
        <w:rPr>
          <w:rFonts w:hint="eastAsia"/>
          <w:snapToGrid w:val="0"/>
          <w:lang w:val="en-GB"/>
        </w:rPr>
        <w:t>,</w:t>
      </w:r>
      <w:r w:rsidRPr="008F5622">
        <w:rPr>
          <w:snapToGrid w:val="0"/>
          <w:lang w:val="en-GB"/>
        </w:rPr>
        <w:t xml:space="preserve"> </w:t>
      </w:r>
      <w:r w:rsidR="008F5622">
        <w:rPr>
          <w:rFonts w:hint="eastAsia"/>
          <w:snapToGrid w:val="0"/>
          <w:lang w:val="en-GB"/>
        </w:rPr>
        <w:t>benefit-cost</w:t>
      </w:r>
      <w:r w:rsidR="00702F02" w:rsidRPr="008F5622">
        <w:rPr>
          <w:snapToGrid w:val="0"/>
          <w:lang w:val="en-GB"/>
        </w:rPr>
        <w:t xml:space="preserve"> analyses are carried out by comparing the economic benefits and costs </w:t>
      </w:r>
      <w:r w:rsidRPr="008F5622">
        <w:rPr>
          <w:rFonts w:hint="eastAsia"/>
          <w:snapToGrid w:val="0"/>
          <w:lang w:val="en-GB"/>
        </w:rPr>
        <w:t xml:space="preserve">in two cases, </w:t>
      </w:r>
      <w:r w:rsidR="008F5622">
        <w:rPr>
          <w:rFonts w:hint="eastAsia"/>
          <w:snapToGrid w:val="0"/>
          <w:lang w:val="en-GB"/>
        </w:rPr>
        <w:t xml:space="preserve">one </w:t>
      </w:r>
      <w:r w:rsidR="00B3317B">
        <w:rPr>
          <w:snapToGrid w:val="0"/>
          <w:lang w:val="en-GB"/>
        </w:rPr>
        <w:t>“</w:t>
      </w:r>
      <w:r w:rsidRPr="008F5622">
        <w:rPr>
          <w:rFonts w:hint="eastAsia"/>
          <w:snapToGrid w:val="0"/>
          <w:lang w:val="en-GB"/>
        </w:rPr>
        <w:t>with project</w:t>
      </w:r>
      <w:r w:rsidR="00B3317B">
        <w:rPr>
          <w:snapToGrid w:val="0"/>
          <w:lang w:val="en-GB"/>
        </w:rPr>
        <w:t>”</w:t>
      </w:r>
      <w:r w:rsidRPr="008F5622">
        <w:rPr>
          <w:rFonts w:hint="eastAsia"/>
          <w:snapToGrid w:val="0"/>
          <w:lang w:val="en-GB"/>
        </w:rPr>
        <w:t xml:space="preserve"> and </w:t>
      </w:r>
      <w:r w:rsidR="008F5622">
        <w:rPr>
          <w:rFonts w:hint="eastAsia"/>
          <w:snapToGrid w:val="0"/>
          <w:lang w:val="en-GB"/>
        </w:rPr>
        <w:t xml:space="preserve">the other </w:t>
      </w:r>
      <w:r w:rsidRPr="008F5622">
        <w:rPr>
          <w:snapToGrid w:val="0"/>
          <w:lang w:val="en-GB"/>
        </w:rPr>
        <w:t>“</w:t>
      </w:r>
      <w:r w:rsidRPr="008F5622">
        <w:rPr>
          <w:rFonts w:hint="eastAsia"/>
          <w:snapToGrid w:val="0"/>
          <w:lang w:val="en-GB"/>
        </w:rPr>
        <w:t>without project</w:t>
      </w:r>
      <w:r w:rsidR="00B3317B">
        <w:rPr>
          <w:snapToGrid w:val="0"/>
          <w:lang w:val="en-GB"/>
        </w:rPr>
        <w:t>.”</w:t>
      </w:r>
      <w:r w:rsidR="00702F02" w:rsidRPr="008F5622">
        <w:rPr>
          <w:snapToGrid w:val="0"/>
          <w:lang w:val="en-GB"/>
        </w:rPr>
        <w:t xml:space="preserve"> </w:t>
      </w:r>
      <w:r w:rsidRPr="008F5622">
        <w:rPr>
          <w:rFonts w:hint="eastAsia"/>
          <w:snapToGrid w:val="0"/>
          <w:lang w:val="en-GB"/>
        </w:rPr>
        <w:t xml:space="preserve">Costs and benefits </w:t>
      </w:r>
      <w:r w:rsidR="000C23E4">
        <w:rPr>
          <w:snapToGrid w:val="0"/>
          <w:lang w:val="en-GB"/>
        </w:rPr>
        <w:t>a</w:t>
      </w:r>
      <w:r w:rsidRPr="008F5622">
        <w:rPr>
          <w:rFonts w:hint="eastAsia"/>
          <w:snapToGrid w:val="0"/>
          <w:lang w:val="en-GB"/>
        </w:rPr>
        <w:t xml:space="preserve">re estimated for each project group (1 to 5) of </w:t>
      </w:r>
      <w:r w:rsidR="000C23E4">
        <w:rPr>
          <w:snapToGrid w:val="0"/>
          <w:lang w:val="en-GB"/>
        </w:rPr>
        <w:t>Financing Pa</w:t>
      </w:r>
      <w:r w:rsidRPr="008F5622">
        <w:rPr>
          <w:snapToGrid w:val="0"/>
          <w:lang w:val="en-GB"/>
        </w:rPr>
        <w:t>ckage</w:t>
      </w:r>
      <w:r w:rsidRPr="008F5622">
        <w:rPr>
          <w:rFonts w:hint="eastAsia"/>
          <w:snapToGrid w:val="0"/>
          <w:lang w:val="en-GB"/>
        </w:rPr>
        <w:t xml:space="preserve"> 2 and analyses are </w:t>
      </w:r>
      <w:r w:rsidR="008F5622">
        <w:rPr>
          <w:rFonts w:hint="eastAsia"/>
          <w:snapToGrid w:val="0"/>
          <w:lang w:val="en-GB"/>
        </w:rPr>
        <w:t xml:space="preserve">also </w:t>
      </w:r>
      <w:r w:rsidRPr="008F5622">
        <w:rPr>
          <w:rFonts w:hint="eastAsia"/>
          <w:snapToGrid w:val="0"/>
          <w:lang w:val="en-GB"/>
        </w:rPr>
        <w:t xml:space="preserve">carried out respectively. </w:t>
      </w:r>
      <w:r w:rsidRPr="008F5622">
        <w:rPr>
          <w:snapToGrid w:val="0"/>
          <w:lang w:val="en-GB"/>
        </w:rPr>
        <w:t xml:space="preserve">The economic internal rate of return (EIRR) is used as the evaluation index, and the economic net present value (ENPV) and benefit-cost ratio (B/C) </w:t>
      </w:r>
      <w:r w:rsidR="00B07BE2">
        <w:rPr>
          <w:rFonts w:hint="eastAsia"/>
          <w:snapToGrid w:val="0"/>
          <w:lang w:val="en-GB"/>
        </w:rPr>
        <w:t>are</w:t>
      </w:r>
      <w:r w:rsidRPr="008F5622">
        <w:rPr>
          <w:snapToGrid w:val="0"/>
          <w:lang w:val="en-GB"/>
        </w:rPr>
        <w:t xml:space="preserve"> also </w:t>
      </w:r>
      <w:r w:rsidR="008F4FA5">
        <w:rPr>
          <w:rFonts w:hint="eastAsia"/>
          <w:snapToGrid w:val="0"/>
          <w:lang w:val="en-GB"/>
        </w:rPr>
        <w:t>presented</w:t>
      </w:r>
      <w:r w:rsidRPr="008F5622">
        <w:rPr>
          <w:snapToGrid w:val="0"/>
          <w:lang w:val="en-GB"/>
        </w:rPr>
        <w:t xml:space="preserve"> for ref</w:t>
      </w:r>
      <w:r w:rsidR="008F4FA5">
        <w:rPr>
          <w:snapToGrid w:val="0"/>
          <w:lang w:val="en-GB"/>
        </w:rPr>
        <w:t>erenc</w:t>
      </w:r>
      <w:r w:rsidR="008F4FA5">
        <w:rPr>
          <w:rFonts w:hint="eastAsia"/>
          <w:snapToGrid w:val="0"/>
          <w:lang w:val="en-GB"/>
        </w:rPr>
        <w:t>e.</w:t>
      </w:r>
    </w:p>
    <w:p w:rsidR="008225C9" w:rsidRPr="00C62766" w:rsidRDefault="008225C9" w:rsidP="001C7E0B">
      <w:pPr>
        <w:pStyle w:val="Caption"/>
        <w:rPr>
          <w:noProof/>
          <w:lang w:val="en-GB"/>
        </w:rPr>
      </w:pPr>
      <w:r w:rsidRPr="00C62766">
        <w:rPr>
          <w:noProof/>
          <w:lang w:val="en-GB"/>
        </w:rPr>
        <w:t xml:space="preserve">Table </w:t>
      </w:r>
      <w:r w:rsidR="00552336">
        <w:rPr>
          <w:rFonts w:hint="eastAsia"/>
          <w:noProof/>
          <w:lang w:val="en-GB"/>
        </w:rPr>
        <w:t>1</w:t>
      </w:r>
      <w:r w:rsidRPr="00C62766">
        <w:rPr>
          <w:noProof/>
          <w:lang w:val="en-GB"/>
        </w:rPr>
        <w:t xml:space="preserve">  Indexes Used in </w:t>
      </w:r>
      <w:r w:rsidR="008F4FA5" w:rsidRPr="008F4FA5">
        <w:rPr>
          <w:noProof/>
          <w:lang w:val="en-GB"/>
        </w:rPr>
        <w:t>Benefit-Cost Assessment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992"/>
        <w:gridCol w:w="6646"/>
      </w:tblGrid>
      <w:tr w:rsidR="008225C9" w:rsidRPr="008F4FA5" w:rsidTr="008F4FA5">
        <w:trPr>
          <w:jc w:val="center"/>
        </w:trPr>
        <w:tc>
          <w:tcPr>
            <w:tcW w:w="992"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Index</w:t>
            </w:r>
          </w:p>
        </w:tc>
        <w:tc>
          <w:tcPr>
            <w:tcW w:w="6646"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Outline</w:t>
            </w:r>
          </w:p>
        </w:tc>
      </w:tr>
      <w:tr w:rsidR="008225C9" w:rsidRPr="008F4FA5" w:rsidTr="008F4FA5">
        <w:trPr>
          <w:jc w:val="center"/>
        </w:trPr>
        <w:tc>
          <w:tcPr>
            <w:tcW w:w="992"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EIRR</w:t>
            </w:r>
          </w:p>
        </w:tc>
        <w:tc>
          <w:tcPr>
            <w:tcW w:w="6646"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The discount rate by which the aggregate present values of economic benefits and costs are discounted to be equal</w:t>
            </w:r>
          </w:p>
        </w:tc>
      </w:tr>
      <w:tr w:rsidR="008225C9" w:rsidRPr="008F4FA5" w:rsidTr="008F4FA5">
        <w:trPr>
          <w:jc w:val="center"/>
        </w:trPr>
        <w:tc>
          <w:tcPr>
            <w:tcW w:w="992"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ENPV</w:t>
            </w:r>
          </w:p>
        </w:tc>
        <w:tc>
          <w:tcPr>
            <w:tcW w:w="6646"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Aggregate present values</w:t>
            </w:r>
            <w:r w:rsidR="00E60BCA" w:rsidRPr="008F4FA5">
              <w:rPr>
                <w:rFonts w:hint="eastAsia"/>
                <w:snapToGrid w:val="0"/>
                <w:lang w:val="en-GB"/>
              </w:rPr>
              <w:t xml:space="preserve"> (</w:t>
            </w:r>
            <w:r w:rsidR="00B5754D" w:rsidRPr="008F4FA5">
              <w:rPr>
                <w:rFonts w:hint="eastAsia"/>
                <w:snapToGrid w:val="0"/>
                <w:lang w:val="en-GB"/>
              </w:rPr>
              <w:t xml:space="preserve">which are </w:t>
            </w:r>
            <w:r w:rsidR="00E60BCA" w:rsidRPr="008F4FA5">
              <w:rPr>
                <w:rFonts w:hint="eastAsia"/>
                <w:snapToGrid w:val="0"/>
                <w:lang w:val="en-GB"/>
              </w:rPr>
              <w:t xml:space="preserve">discounted at </w:t>
            </w:r>
            <w:r w:rsidR="008F4FA5" w:rsidRPr="008F4FA5">
              <w:rPr>
                <w:rFonts w:hint="eastAsia"/>
                <w:snapToGrid w:val="0"/>
                <w:lang w:val="en-GB"/>
              </w:rPr>
              <w:t>given</w:t>
            </w:r>
            <w:r w:rsidR="00E60BCA" w:rsidRPr="008F4FA5">
              <w:rPr>
                <w:rFonts w:hint="eastAsia"/>
                <w:snapToGrid w:val="0"/>
                <w:lang w:val="en-GB"/>
              </w:rPr>
              <w:t xml:space="preserve"> </w:t>
            </w:r>
            <w:r w:rsidR="008F4FA5" w:rsidRPr="008F4FA5">
              <w:rPr>
                <w:rFonts w:hint="eastAsia"/>
                <w:snapToGrid w:val="0"/>
                <w:lang w:val="en-GB"/>
              </w:rPr>
              <w:t>discount rate</w:t>
            </w:r>
            <w:r w:rsidR="00E60BCA" w:rsidRPr="008F4FA5">
              <w:rPr>
                <w:rFonts w:hint="eastAsia"/>
                <w:snapToGrid w:val="0"/>
                <w:lang w:val="en-GB"/>
              </w:rPr>
              <w:t>)</w:t>
            </w:r>
            <w:r w:rsidRPr="008F4FA5">
              <w:rPr>
                <w:snapToGrid w:val="0"/>
                <w:lang w:val="en-GB"/>
              </w:rPr>
              <w:t xml:space="preserve"> of the yearly differences between economic benefits and costs</w:t>
            </w:r>
          </w:p>
        </w:tc>
      </w:tr>
      <w:tr w:rsidR="008225C9" w:rsidRPr="008F4FA5" w:rsidTr="008F4FA5">
        <w:trPr>
          <w:jc w:val="center"/>
        </w:trPr>
        <w:tc>
          <w:tcPr>
            <w:tcW w:w="992"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B/C</w:t>
            </w:r>
          </w:p>
        </w:tc>
        <w:tc>
          <w:tcPr>
            <w:tcW w:w="6646" w:type="dxa"/>
            <w:shd w:val="clear" w:color="auto" w:fill="auto"/>
          </w:tcPr>
          <w:p w:rsidR="008225C9" w:rsidRPr="008F4FA5" w:rsidRDefault="008225C9" w:rsidP="000C23E4">
            <w:pPr>
              <w:pStyle w:val="t"/>
              <w:spacing w:before="40" w:after="40"/>
              <w:rPr>
                <w:snapToGrid w:val="0"/>
                <w:lang w:val="en-GB"/>
              </w:rPr>
            </w:pPr>
            <w:r w:rsidRPr="008F4FA5">
              <w:rPr>
                <w:snapToGrid w:val="0"/>
                <w:lang w:val="en-GB"/>
              </w:rPr>
              <w:t>The aggregate present values</w:t>
            </w:r>
            <w:r w:rsidR="00B5754D" w:rsidRPr="008F4FA5">
              <w:rPr>
                <w:rFonts w:hint="eastAsia"/>
                <w:snapToGrid w:val="0"/>
                <w:lang w:val="en-GB"/>
              </w:rPr>
              <w:t xml:space="preserve"> (which are discounted </w:t>
            </w:r>
            <w:r w:rsidR="008F4FA5" w:rsidRPr="008F4FA5">
              <w:rPr>
                <w:rFonts w:hint="eastAsia"/>
                <w:snapToGrid w:val="0"/>
                <w:lang w:val="en-GB"/>
              </w:rPr>
              <w:t>at given discount rate</w:t>
            </w:r>
            <w:r w:rsidR="00B5754D" w:rsidRPr="008F4FA5">
              <w:rPr>
                <w:rFonts w:hint="eastAsia"/>
                <w:snapToGrid w:val="0"/>
                <w:lang w:val="en-GB"/>
              </w:rPr>
              <w:t>)</w:t>
            </w:r>
            <w:r w:rsidRPr="008F4FA5">
              <w:rPr>
                <w:snapToGrid w:val="0"/>
                <w:lang w:val="en-GB"/>
              </w:rPr>
              <w:t xml:space="preserve"> of economic benefits divided by the aggregate present values of economic costs.</w:t>
            </w:r>
          </w:p>
        </w:tc>
      </w:tr>
    </w:tbl>
    <w:p w:rsidR="008225C9" w:rsidRPr="008F4FA5" w:rsidRDefault="008225C9" w:rsidP="001C7E0B">
      <w:pPr>
        <w:pStyle w:val="t"/>
        <w:rPr>
          <w:szCs w:val="20"/>
          <w:lang w:bidi="he-IL"/>
        </w:rPr>
      </w:pPr>
    </w:p>
    <w:p w:rsidR="008225C9" w:rsidRPr="0084084D" w:rsidRDefault="008225C9" w:rsidP="000F1E04">
      <w:pPr>
        <w:pStyle w:val="Heading2"/>
      </w:pPr>
      <w:bookmarkStart w:id="1" w:name="_Toc381199837"/>
      <w:r w:rsidRPr="0084084D">
        <w:t>Assumptions and Conditions for Estimation of Economic Benefits</w:t>
      </w:r>
      <w:bookmarkEnd w:id="1"/>
    </w:p>
    <w:p w:rsidR="00C341B0" w:rsidRDefault="008E63C1" w:rsidP="001C7E0B">
      <w:pPr>
        <w:pStyle w:val="t"/>
        <w:rPr>
          <w:szCs w:val="20"/>
          <w:lang w:val="en-GB" w:bidi="he-IL"/>
        </w:rPr>
      </w:pPr>
      <w:r>
        <w:rPr>
          <w:rFonts w:hint="eastAsia"/>
          <w:szCs w:val="20"/>
          <w:lang w:val="en-GB" w:bidi="he-IL"/>
        </w:rPr>
        <w:t xml:space="preserve">In general, benefits of </w:t>
      </w:r>
      <w:r>
        <w:rPr>
          <w:szCs w:val="20"/>
          <w:lang w:val="en-GB" w:bidi="he-IL"/>
        </w:rPr>
        <w:t>transmission</w:t>
      </w:r>
      <w:r>
        <w:rPr>
          <w:rFonts w:hint="eastAsia"/>
          <w:szCs w:val="20"/>
          <w:lang w:val="en-GB" w:bidi="he-IL"/>
        </w:rPr>
        <w:t xml:space="preserve"> expansion projects are represented by (</w:t>
      </w:r>
      <w:proofErr w:type="spellStart"/>
      <w:r>
        <w:rPr>
          <w:rFonts w:hint="eastAsia"/>
          <w:szCs w:val="20"/>
          <w:lang w:val="en-GB" w:bidi="he-IL"/>
        </w:rPr>
        <w:t>i</w:t>
      </w:r>
      <w:proofErr w:type="spellEnd"/>
      <w:r>
        <w:rPr>
          <w:rFonts w:hint="eastAsia"/>
          <w:szCs w:val="20"/>
          <w:lang w:val="en-GB" w:bidi="he-IL"/>
        </w:rPr>
        <w:t xml:space="preserve">) increased electricity distribution, (ii) improved reliability, (iii) stabilized </w:t>
      </w:r>
      <w:r>
        <w:rPr>
          <w:rFonts w:hint="eastAsia"/>
          <w:szCs w:val="20"/>
          <w:lang w:val="en-GB" w:bidi="he-IL"/>
        </w:rPr>
        <w:lastRenderedPageBreak/>
        <w:t xml:space="preserve">system voltage and </w:t>
      </w:r>
      <w:proofErr w:type="gramStart"/>
      <w:r>
        <w:rPr>
          <w:rFonts w:hint="eastAsia"/>
          <w:szCs w:val="20"/>
          <w:lang w:val="en-GB" w:bidi="he-IL"/>
        </w:rPr>
        <w:t>(iv) reduced</w:t>
      </w:r>
      <w:proofErr w:type="gramEnd"/>
      <w:r>
        <w:rPr>
          <w:rFonts w:hint="eastAsia"/>
          <w:szCs w:val="20"/>
          <w:lang w:val="en-GB" w:bidi="he-IL"/>
        </w:rPr>
        <w:t xml:space="preserve"> system losses. </w:t>
      </w:r>
      <w:r w:rsidR="00B5754D">
        <w:rPr>
          <w:rFonts w:hint="eastAsia"/>
          <w:szCs w:val="20"/>
          <w:lang w:val="en-GB" w:bidi="he-IL"/>
        </w:rPr>
        <w:t xml:space="preserve">To simplify the estimation, </w:t>
      </w:r>
      <w:r w:rsidR="00677CB1">
        <w:rPr>
          <w:rFonts w:hint="eastAsia"/>
          <w:szCs w:val="20"/>
          <w:lang w:val="en-GB" w:bidi="he-IL"/>
        </w:rPr>
        <w:t xml:space="preserve">only direct and </w:t>
      </w:r>
      <w:r w:rsidR="00677CB1" w:rsidRPr="0084084D">
        <w:rPr>
          <w:rFonts w:hint="eastAsia"/>
          <w:szCs w:val="20"/>
          <w:lang w:val="en-GB" w:bidi="he-IL"/>
        </w:rPr>
        <w:t>quantifiable</w:t>
      </w:r>
      <w:r w:rsidR="00677CB1">
        <w:rPr>
          <w:rFonts w:hint="eastAsia"/>
          <w:szCs w:val="20"/>
          <w:lang w:val="en-GB" w:bidi="he-IL"/>
        </w:rPr>
        <w:t xml:space="preserve"> benefits generated by the project </w:t>
      </w:r>
      <w:r w:rsidR="00677CB1" w:rsidRPr="0084084D">
        <w:rPr>
          <w:rFonts w:hint="eastAsia"/>
          <w:szCs w:val="20"/>
          <w:lang w:val="en-GB" w:bidi="he-IL"/>
        </w:rPr>
        <w:t xml:space="preserve">are </w:t>
      </w:r>
      <w:r w:rsidR="00B3317B">
        <w:rPr>
          <w:szCs w:val="20"/>
          <w:lang w:val="en-GB" w:bidi="he-IL"/>
        </w:rPr>
        <w:t>counted</w:t>
      </w:r>
      <w:r w:rsidR="00677CB1">
        <w:rPr>
          <w:rFonts w:hint="eastAsia"/>
          <w:szCs w:val="20"/>
          <w:lang w:val="en-GB" w:bidi="he-IL"/>
        </w:rPr>
        <w:t xml:space="preserve"> in this study. </w:t>
      </w:r>
    </w:p>
    <w:p w:rsidR="00C341B0" w:rsidRDefault="00677CB1" w:rsidP="001C7E0B">
      <w:pPr>
        <w:pStyle w:val="t"/>
        <w:rPr>
          <w:szCs w:val="20"/>
          <w:lang w:val="en-GB" w:bidi="he-IL"/>
        </w:rPr>
      </w:pPr>
      <w:r>
        <w:rPr>
          <w:rFonts w:hint="eastAsia"/>
          <w:szCs w:val="20"/>
          <w:lang w:val="en-GB" w:bidi="he-IL"/>
        </w:rPr>
        <w:t>T</w:t>
      </w:r>
      <w:r w:rsidRPr="0084084D">
        <w:rPr>
          <w:rFonts w:hint="eastAsia"/>
          <w:szCs w:val="20"/>
          <w:lang w:val="en-GB" w:bidi="he-IL"/>
        </w:rPr>
        <w:t xml:space="preserve">he national electrification </w:t>
      </w:r>
      <w:r w:rsidRPr="0084084D">
        <w:rPr>
          <w:szCs w:val="20"/>
          <w:lang w:val="en-GB" w:bidi="he-IL"/>
        </w:rPr>
        <w:t>rate of Nigeria remains</w:t>
      </w:r>
      <w:r w:rsidRPr="0084084D">
        <w:rPr>
          <w:rFonts w:hint="eastAsia"/>
          <w:szCs w:val="20"/>
          <w:lang w:val="en-GB" w:bidi="he-IL"/>
        </w:rPr>
        <w:t xml:space="preserve"> at only around </w:t>
      </w:r>
      <w:r w:rsidR="000645A6">
        <w:rPr>
          <w:szCs w:val="20"/>
          <w:lang w:val="en-GB" w:bidi="he-IL"/>
        </w:rPr>
        <w:t>25</w:t>
      </w:r>
      <w:r w:rsidRPr="0084084D">
        <w:rPr>
          <w:rFonts w:hint="eastAsia"/>
          <w:szCs w:val="20"/>
          <w:lang w:val="en-GB" w:bidi="he-IL"/>
        </w:rPr>
        <w:t>%</w:t>
      </w:r>
      <w:r w:rsidR="00B07BE2">
        <w:rPr>
          <w:rFonts w:hint="eastAsia"/>
          <w:szCs w:val="20"/>
          <w:lang w:val="en-GB" w:bidi="he-IL"/>
        </w:rPr>
        <w:t>,</w:t>
      </w:r>
      <w:r w:rsidR="008F5622">
        <w:rPr>
          <w:rFonts w:hint="eastAsia"/>
          <w:szCs w:val="20"/>
          <w:lang w:val="en-GB" w:bidi="he-IL"/>
        </w:rPr>
        <w:t xml:space="preserve"> and e</w:t>
      </w:r>
      <w:r>
        <w:rPr>
          <w:rFonts w:hint="eastAsia"/>
          <w:szCs w:val="20"/>
          <w:lang w:val="en-GB" w:bidi="he-IL"/>
        </w:rPr>
        <w:t xml:space="preserve">ven in the already electrified areas, power supplies are absolutely short to cover the demands. </w:t>
      </w:r>
      <w:r w:rsidR="00E42ECB">
        <w:rPr>
          <w:rFonts w:hint="eastAsia"/>
          <w:szCs w:val="20"/>
          <w:lang w:val="en-GB" w:bidi="he-IL"/>
        </w:rPr>
        <w:t xml:space="preserve">Presently, </w:t>
      </w:r>
      <w:r w:rsidR="00FF5225">
        <w:rPr>
          <w:rFonts w:hint="eastAsia"/>
          <w:szCs w:val="20"/>
          <w:lang w:val="en-GB" w:bidi="he-IL"/>
        </w:rPr>
        <w:t>families</w:t>
      </w:r>
      <w:r w:rsidR="00B5754D">
        <w:rPr>
          <w:szCs w:val="20"/>
          <w:lang w:val="en-GB" w:bidi="he-IL"/>
        </w:rPr>
        <w:t xml:space="preserve"> </w:t>
      </w:r>
      <w:r w:rsidR="00FF5225">
        <w:rPr>
          <w:rFonts w:hint="eastAsia"/>
          <w:szCs w:val="20"/>
          <w:lang w:val="en-GB" w:bidi="he-IL"/>
        </w:rPr>
        <w:t>and manufacturers</w:t>
      </w:r>
      <w:r w:rsidR="00B5754D">
        <w:rPr>
          <w:szCs w:val="20"/>
          <w:lang w:val="en-GB" w:bidi="he-IL"/>
        </w:rPr>
        <w:t xml:space="preserve"> in the areas without access to electricity depend</w:t>
      </w:r>
      <w:r w:rsidR="00B5754D">
        <w:rPr>
          <w:rFonts w:hint="eastAsia"/>
          <w:szCs w:val="20"/>
          <w:lang w:val="en-GB" w:bidi="he-IL"/>
        </w:rPr>
        <w:t xml:space="preserve"> on the self-generation from diesel and petrol generators to gain the electric power. </w:t>
      </w:r>
      <w:r w:rsidR="00B5223A">
        <w:rPr>
          <w:rFonts w:hint="eastAsia"/>
          <w:szCs w:val="20"/>
          <w:lang w:val="en-GB" w:bidi="he-IL"/>
        </w:rPr>
        <w:t>However, self-generation is much more costly than the electricity supply from</w:t>
      </w:r>
      <w:r w:rsidR="00824C3F">
        <w:rPr>
          <w:rFonts w:hint="eastAsia"/>
          <w:szCs w:val="20"/>
          <w:lang w:val="en-GB" w:bidi="he-IL"/>
        </w:rPr>
        <w:t xml:space="preserve"> the</w:t>
      </w:r>
      <w:r w:rsidR="00B5223A">
        <w:rPr>
          <w:rFonts w:hint="eastAsia"/>
          <w:szCs w:val="20"/>
          <w:lang w:val="en-GB" w:bidi="he-IL"/>
        </w:rPr>
        <w:t xml:space="preserve"> grid. </w:t>
      </w:r>
      <w:r w:rsidR="00877708">
        <w:rPr>
          <w:rFonts w:hint="eastAsia"/>
          <w:szCs w:val="20"/>
          <w:lang w:val="en-GB" w:bidi="he-IL"/>
        </w:rPr>
        <w:t>By the implementation of the project, Nigeria</w:t>
      </w:r>
      <w:r w:rsidR="001220A4">
        <w:rPr>
          <w:szCs w:val="20"/>
          <w:lang w:val="en-GB" w:bidi="he-IL"/>
        </w:rPr>
        <w:t>ns</w:t>
      </w:r>
      <w:r w:rsidR="00877708">
        <w:rPr>
          <w:rFonts w:hint="eastAsia"/>
          <w:szCs w:val="20"/>
          <w:lang w:val="en-GB" w:bidi="he-IL"/>
        </w:rPr>
        <w:t xml:space="preserve"> are able to enjoy more electricity with lower cost. </w:t>
      </w:r>
    </w:p>
    <w:p w:rsidR="0084084D" w:rsidRDefault="00B5223A" w:rsidP="001C7E0B">
      <w:pPr>
        <w:pStyle w:val="t"/>
        <w:rPr>
          <w:szCs w:val="20"/>
          <w:lang w:val="en-GB" w:bidi="he-IL"/>
        </w:rPr>
      </w:pPr>
      <w:r>
        <w:rPr>
          <w:rFonts w:hint="eastAsia"/>
          <w:szCs w:val="20"/>
          <w:lang w:val="en-GB" w:bidi="he-IL"/>
        </w:rPr>
        <w:t xml:space="preserve">These gaps between the price of self-generation and grid electricity are </w:t>
      </w:r>
      <w:r w:rsidR="008F5622">
        <w:rPr>
          <w:rFonts w:hint="eastAsia"/>
          <w:szCs w:val="20"/>
          <w:lang w:val="en-GB" w:bidi="he-IL"/>
        </w:rPr>
        <w:t xml:space="preserve">assumed as the economic benefit </w:t>
      </w:r>
      <w:r w:rsidR="00824C3F">
        <w:rPr>
          <w:rFonts w:hint="eastAsia"/>
          <w:szCs w:val="20"/>
          <w:lang w:val="en-GB" w:bidi="he-IL"/>
        </w:rPr>
        <w:t xml:space="preserve">in </w:t>
      </w:r>
      <w:r w:rsidR="000645A6">
        <w:rPr>
          <w:szCs w:val="20"/>
          <w:lang w:val="en-GB" w:bidi="he-IL"/>
        </w:rPr>
        <w:t>“</w:t>
      </w:r>
      <w:proofErr w:type="spellStart"/>
      <w:r w:rsidR="00824C3F">
        <w:rPr>
          <w:rFonts w:hint="eastAsia"/>
          <w:szCs w:val="20"/>
          <w:lang w:val="en-GB" w:bidi="he-IL"/>
        </w:rPr>
        <w:t>with</w:t>
      </w:r>
      <w:proofErr w:type="spellEnd"/>
      <w:r w:rsidR="00824C3F">
        <w:rPr>
          <w:rFonts w:hint="eastAsia"/>
          <w:szCs w:val="20"/>
          <w:lang w:val="en-GB" w:bidi="he-IL"/>
        </w:rPr>
        <w:t xml:space="preserve"> project</w:t>
      </w:r>
      <w:r w:rsidR="000645A6">
        <w:rPr>
          <w:szCs w:val="20"/>
          <w:lang w:val="en-GB" w:bidi="he-IL"/>
        </w:rPr>
        <w:t>”</w:t>
      </w:r>
      <w:r w:rsidR="00824C3F">
        <w:rPr>
          <w:rFonts w:hint="eastAsia"/>
          <w:szCs w:val="20"/>
          <w:lang w:val="en-GB" w:bidi="he-IL"/>
        </w:rPr>
        <w:t xml:space="preserve"> case </w:t>
      </w:r>
      <w:r w:rsidR="008F5622">
        <w:rPr>
          <w:rFonts w:hint="eastAsia"/>
          <w:szCs w:val="20"/>
          <w:lang w:val="en-GB" w:bidi="he-IL"/>
        </w:rPr>
        <w:t>in this study.</w:t>
      </w:r>
      <w:r w:rsidR="00824C3F">
        <w:rPr>
          <w:rFonts w:hint="eastAsia"/>
          <w:szCs w:val="20"/>
          <w:lang w:val="en-GB" w:bidi="he-IL"/>
        </w:rPr>
        <w:t xml:space="preserve"> </w:t>
      </w:r>
      <w:r w:rsidR="00B04D7D">
        <w:rPr>
          <w:rFonts w:hint="eastAsia"/>
          <w:szCs w:val="20"/>
          <w:lang w:val="en-GB" w:bidi="he-IL"/>
        </w:rPr>
        <w:t>And at the same time, the projects</w:t>
      </w:r>
      <w:r w:rsidR="00B07BE2">
        <w:rPr>
          <w:rFonts w:hint="eastAsia"/>
          <w:szCs w:val="20"/>
          <w:lang w:val="en-GB" w:bidi="he-IL"/>
        </w:rPr>
        <w:t xml:space="preserve">, especially </w:t>
      </w:r>
      <w:r w:rsidR="00AA506A">
        <w:rPr>
          <w:rFonts w:hint="eastAsia"/>
          <w:szCs w:val="20"/>
          <w:lang w:val="en-GB" w:bidi="he-IL"/>
        </w:rPr>
        <w:t>transmission</w:t>
      </w:r>
      <w:r w:rsidR="00B07BE2">
        <w:rPr>
          <w:rFonts w:hint="eastAsia"/>
          <w:szCs w:val="20"/>
          <w:lang w:val="en-GB" w:bidi="he-IL"/>
        </w:rPr>
        <w:t xml:space="preserve"> lines</w:t>
      </w:r>
      <w:r w:rsidR="001220A4">
        <w:rPr>
          <w:szCs w:val="20"/>
          <w:lang w:val="en-GB" w:bidi="he-IL"/>
        </w:rPr>
        <w:t>,</w:t>
      </w:r>
      <w:r w:rsidR="00B04D7D">
        <w:rPr>
          <w:rFonts w:hint="eastAsia"/>
          <w:szCs w:val="20"/>
          <w:lang w:val="en-GB" w:bidi="he-IL"/>
        </w:rPr>
        <w:t xml:space="preserve"> will occupy the lands which </w:t>
      </w:r>
      <w:r w:rsidR="001220A4">
        <w:rPr>
          <w:szCs w:val="20"/>
          <w:lang w:val="en-GB" w:bidi="he-IL"/>
        </w:rPr>
        <w:t xml:space="preserve">could </w:t>
      </w:r>
      <w:r w:rsidR="00B04D7D">
        <w:rPr>
          <w:rFonts w:hint="eastAsia"/>
          <w:szCs w:val="20"/>
          <w:lang w:val="en-GB" w:bidi="he-IL"/>
        </w:rPr>
        <w:t>be used for other purpose</w:t>
      </w:r>
      <w:r w:rsidR="001220A4">
        <w:rPr>
          <w:szCs w:val="20"/>
          <w:lang w:val="en-GB" w:bidi="he-IL"/>
        </w:rPr>
        <w:t>s</w:t>
      </w:r>
      <w:r w:rsidR="00B04D7D">
        <w:rPr>
          <w:rFonts w:hint="eastAsia"/>
          <w:szCs w:val="20"/>
          <w:lang w:val="en-GB" w:bidi="he-IL"/>
        </w:rPr>
        <w:t xml:space="preserve"> </w:t>
      </w:r>
      <w:r w:rsidR="00B07BE2">
        <w:rPr>
          <w:rFonts w:hint="eastAsia"/>
          <w:szCs w:val="20"/>
          <w:lang w:val="en-GB" w:bidi="he-IL"/>
        </w:rPr>
        <w:t>if</w:t>
      </w:r>
      <w:r w:rsidR="00B04D7D">
        <w:rPr>
          <w:rFonts w:hint="eastAsia"/>
          <w:szCs w:val="20"/>
          <w:lang w:val="en-GB" w:bidi="he-IL"/>
        </w:rPr>
        <w:t xml:space="preserve"> the projects</w:t>
      </w:r>
      <w:r w:rsidR="00B07BE2">
        <w:rPr>
          <w:rFonts w:hint="eastAsia"/>
          <w:szCs w:val="20"/>
          <w:lang w:val="en-GB" w:bidi="he-IL"/>
        </w:rPr>
        <w:t xml:space="preserve"> are not carried out</w:t>
      </w:r>
      <w:r w:rsidR="00B04D7D">
        <w:rPr>
          <w:rFonts w:hint="eastAsia"/>
          <w:szCs w:val="20"/>
          <w:lang w:val="en-GB" w:bidi="he-IL"/>
        </w:rPr>
        <w:t xml:space="preserve">. The economic values of those occupied lands are taken as the economic benefit of </w:t>
      </w:r>
      <w:r w:rsidR="000645A6">
        <w:rPr>
          <w:szCs w:val="20"/>
          <w:lang w:val="en-GB" w:bidi="he-IL"/>
        </w:rPr>
        <w:t>“</w:t>
      </w:r>
      <w:r w:rsidR="00B04D7D">
        <w:rPr>
          <w:rFonts w:hint="eastAsia"/>
          <w:szCs w:val="20"/>
          <w:lang w:val="en-GB" w:bidi="he-IL"/>
        </w:rPr>
        <w:t>without project</w:t>
      </w:r>
      <w:r w:rsidR="000645A6">
        <w:rPr>
          <w:szCs w:val="20"/>
          <w:lang w:val="en-GB" w:bidi="he-IL"/>
        </w:rPr>
        <w:t>”</w:t>
      </w:r>
      <w:r w:rsidR="00B04D7D">
        <w:rPr>
          <w:rFonts w:hint="eastAsia"/>
          <w:szCs w:val="20"/>
          <w:lang w:val="en-GB" w:bidi="he-IL"/>
        </w:rPr>
        <w:t xml:space="preserve"> case. The economic benefit of </w:t>
      </w:r>
      <w:r w:rsidR="000645A6">
        <w:rPr>
          <w:szCs w:val="20"/>
          <w:lang w:val="en-GB" w:bidi="he-IL"/>
        </w:rPr>
        <w:t>“</w:t>
      </w:r>
      <w:r w:rsidR="00B04D7D">
        <w:rPr>
          <w:rFonts w:hint="eastAsia"/>
          <w:szCs w:val="20"/>
          <w:lang w:val="en-GB" w:bidi="he-IL"/>
        </w:rPr>
        <w:t>without case</w:t>
      </w:r>
      <w:r w:rsidR="000645A6">
        <w:rPr>
          <w:szCs w:val="20"/>
          <w:lang w:val="en-GB" w:bidi="he-IL"/>
        </w:rPr>
        <w:t>”</w:t>
      </w:r>
      <w:r w:rsidR="00B04D7D">
        <w:rPr>
          <w:rFonts w:hint="eastAsia"/>
          <w:szCs w:val="20"/>
          <w:lang w:val="en-GB" w:bidi="he-IL"/>
        </w:rPr>
        <w:t xml:space="preserve"> will be deducted from the economic benefit of </w:t>
      </w:r>
      <w:r w:rsidR="000645A6">
        <w:rPr>
          <w:szCs w:val="20"/>
          <w:lang w:val="en-GB" w:bidi="he-IL"/>
        </w:rPr>
        <w:t>“</w:t>
      </w:r>
      <w:r w:rsidR="00B04D7D">
        <w:rPr>
          <w:rFonts w:hint="eastAsia"/>
          <w:szCs w:val="20"/>
          <w:lang w:val="en-GB" w:bidi="he-IL"/>
        </w:rPr>
        <w:t>with case</w:t>
      </w:r>
      <w:r w:rsidR="000645A6">
        <w:rPr>
          <w:szCs w:val="20"/>
          <w:lang w:val="en-GB" w:bidi="he-IL"/>
        </w:rPr>
        <w:t>”</w:t>
      </w:r>
      <w:r w:rsidR="00B04D7D">
        <w:rPr>
          <w:rFonts w:hint="eastAsia"/>
          <w:szCs w:val="20"/>
          <w:lang w:val="en-GB" w:bidi="he-IL"/>
        </w:rPr>
        <w:t xml:space="preserve"> as same as the various costs of the projects. </w:t>
      </w:r>
      <w:r w:rsidR="00824C3F">
        <w:rPr>
          <w:rFonts w:hint="eastAsia"/>
          <w:szCs w:val="20"/>
          <w:lang w:val="en-GB" w:bidi="he-IL"/>
        </w:rPr>
        <w:t xml:space="preserve">The assumptions of benefits in </w:t>
      </w:r>
      <w:r w:rsidR="00824C3F">
        <w:rPr>
          <w:szCs w:val="20"/>
          <w:lang w:val="en-GB" w:bidi="he-IL"/>
        </w:rPr>
        <w:t>the</w:t>
      </w:r>
      <w:r w:rsidR="00824C3F">
        <w:rPr>
          <w:rFonts w:hint="eastAsia"/>
          <w:szCs w:val="20"/>
          <w:lang w:val="en-GB" w:bidi="he-IL"/>
        </w:rPr>
        <w:t xml:space="preserve"> </w:t>
      </w:r>
      <w:r w:rsidR="000645A6">
        <w:rPr>
          <w:szCs w:val="20"/>
          <w:lang w:val="en-GB" w:bidi="he-IL"/>
        </w:rPr>
        <w:t>“</w:t>
      </w:r>
      <w:r w:rsidR="00824C3F">
        <w:rPr>
          <w:rFonts w:hint="eastAsia"/>
          <w:szCs w:val="20"/>
          <w:lang w:val="en-GB" w:bidi="he-IL"/>
        </w:rPr>
        <w:t xml:space="preserve">with </w:t>
      </w:r>
      <w:r w:rsidR="00B04D7D">
        <w:rPr>
          <w:rFonts w:hint="eastAsia"/>
          <w:szCs w:val="20"/>
          <w:lang w:val="en-GB" w:bidi="he-IL"/>
        </w:rPr>
        <w:t>case</w:t>
      </w:r>
      <w:r w:rsidR="000645A6">
        <w:rPr>
          <w:szCs w:val="20"/>
          <w:lang w:val="en-GB" w:bidi="he-IL"/>
        </w:rPr>
        <w:t>”</w:t>
      </w:r>
      <w:r w:rsidR="00824C3F">
        <w:rPr>
          <w:rFonts w:hint="eastAsia"/>
          <w:szCs w:val="20"/>
          <w:lang w:val="en-GB" w:bidi="he-IL"/>
        </w:rPr>
        <w:t xml:space="preserve"> </w:t>
      </w:r>
      <w:r w:rsidR="00B04D7D">
        <w:rPr>
          <w:rFonts w:hint="eastAsia"/>
          <w:szCs w:val="20"/>
          <w:lang w:val="en-GB" w:bidi="he-IL"/>
        </w:rPr>
        <w:t xml:space="preserve">and </w:t>
      </w:r>
      <w:r w:rsidR="000645A6">
        <w:rPr>
          <w:szCs w:val="20"/>
          <w:lang w:val="en-GB" w:bidi="he-IL"/>
        </w:rPr>
        <w:t>“</w:t>
      </w:r>
      <w:r w:rsidR="00B04D7D">
        <w:rPr>
          <w:rFonts w:hint="eastAsia"/>
          <w:szCs w:val="20"/>
          <w:lang w:val="en-GB" w:bidi="he-IL"/>
        </w:rPr>
        <w:t>without case</w:t>
      </w:r>
      <w:r w:rsidR="000645A6">
        <w:rPr>
          <w:szCs w:val="20"/>
          <w:lang w:val="en-GB" w:bidi="he-IL"/>
        </w:rPr>
        <w:t>”</w:t>
      </w:r>
      <w:r w:rsidR="00B04D7D">
        <w:rPr>
          <w:rFonts w:hint="eastAsia"/>
          <w:szCs w:val="20"/>
          <w:lang w:val="en-GB" w:bidi="he-IL"/>
        </w:rPr>
        <w:t xml:space="preserve"> </w:t>
      </w:r>
      <w:r w:rsidR="00824C3F">
        <w:rPr>
          <w:rFonts w:hint="eastAsia"/>
          <w:szCs w:val="20"/>
          <w:lang w:val="en-GB" w:bidi="he-IL"/>
        </w:rPr>
        <w:t>will be described in the following</w:t>
      </w:r>
      <w:r w:rsidR="001220A4">
        <w:rPr>
          <w:szCs w:val="20"/>
          <w:lang w:val="en-GB" w:bidi="he-IL"/>
        </w:rPr>
        <w:t xml:space="preserve"> section</w:t>
      </w:r>
      <w:r w:rsidR="00824C3F">
        <w:rPr>
          <w:rFonts w:hint="eastAsia"/>
          <w:szCs w:val="20"/>
          <w:lang w:val="en-GB" w:bidi="he-IL"/>
        </w:rPr>
        <w:t>s.</w:t>
      </w:r>
    </w:p>
    <w:p w:rsidR="008F5622" w:rsidRPr="00824C3F" w:rsidRDefault="00824C3F" w:rsidP="000F1E04">
      <w:pPr>
        <w:pStyle w:val="Heading2"/>
      </w:pPr>
      <w:bookmarkStart w:id="2" w:name="_Toc381199838"/>
      <w:r>
        <w:rPr>
          <w:rFonts w:hint="eastAsia"/>
        </w:rPr>
        <w:t xml:space="preserve">Economic Benefit of </w:t>
      </w:r>
      <w:r w:rsidR="000645A6">
        <w:t>“</w:t>
      </w:r>
      <w:r w:rsidR="00CE2894">
        <w:rPr>
          <w:rFonts w:hint="eastAsia"/>
        </w:rPr>
        <w:t xml:space="preserve">With </w:t>
      </w:r>
      <w:r w:rsidR="00CD637F">
        <w:rPr>
          <w:rFonts w:hint="eastAsia"/>
        </w:rPr>
        <w:t>Case</w:t>
      </w:r>
      <w:r w:rsidR="000645A6">
        <w:t>”</w:t>
      </w:r>
      <w:bookmarkEnd w:id="2"/>
    </w:p>
    <w:p w:rsidR="008F5622" w:rsidRPr="008F5622" w:rsidRDefault="008F5622" w:rsidP="000F1E04">
      <w:pPr>
        <w:pStyle w:val="Heading3"/>
        <w:rPr>
          <w:lang w:val="en-GB" w:bidi="he-IL"/>
        </w:rPr>
      </w:pPr>
      <w:bookmarkStart w:id="3" w:name="_Toc381199839"/>
      <w:r>
        <w:rPr>
          <w:rFonts w:hint="eastAsia"/>
          <w:lang w:val="en-GB" w:bidi="he-IL"/>
        </w:rPr>
        <w:t xml:space="preserve">Estimation of </w:t>
      </w:r>
      <w:r w:rsidRPr="008F5622">
        <w:rPr>
          <w:lang w:val="en-GB" w:bidi="he-IL"/>
        </w:rPr>
        <w:t>Increased Annual Electricity</w:t>
      </w:r>
      <w:bookmarkEnd w:id="3"/>
    </w:p>
    <w:p w:rsidR="008F5622" w:rsidRDefault="008F5622" w:rsidP="0043551B">
      <w:pPr>
        <w:pStyle w:val="t"/>
        <w:spacing w:after="120"/>
        <w:rPr>
          <w:szCs w:val="20"/>
          <w:lang w:val="en-GB" w:bidi="he-IL"/>
        </w:rPr>
      </w:pPr>
      <w:r>
        <w:rPr>
          <w:rFonts w:hint="eastAsia"/>
          <w:szCs w:val="20"/>
          <w:lang w:val="en-GB" w:bidi="he-IL"/>
        </w:rPr>
        <w:t xml:space="preserve">Increased </w:t>
      </w:r>
      <w:r w:rsidR="00AA506A">
        <w:rPr>
          <w:rFonts w:hint="eastAsia"/>
          <w:szCs w:val="20"/>
          <w:lang w:val="en-GB" w:bidi="he-IL"/>
        </w:rPr>
        <w:t>amount</w:t>
      </w:r>
      <w:r>
        <w:rPr>
          <w:rFonts w:hint="eastAsia"/>
          <w:szCs w:val="20"/>
          <w:lang w:val="en-GB" w:bidi="he-IL"/>
        </w:rPr>
        <w:t xml:space="preserve"> of electricity by the projects is estimated under the following assumptions.</w:t>
      </w:r>
    </w:p>
    <w:p w:rsidR="008F5622" w:rsidRPr="0043551B" w:rsidRDefault="00AA506A" w:rsidP="0043551B">
      <w:pPr>
        <w:pStyle w:val="b"/>
      </w:pPr>
      <w:r w:rsidRPr="0043551B">
        <w:t>Amount of wheeled electricity</w:t>
      </w:r>
      <w:r w:rsidR="008F5622" w:rsidRPr="0043551B">
        <w:rPr>
          <w:rFonts w:hint="eastAsia"/>
        </w:rPr>
        <w:t xml:space="preserve"> </w:t>
      </w:r>
      <w:r w:rsidR="00824C3F" w:rsidRPr="0043551B">
        <w:rPr>
          <w:rFonts w:hint="eastAsia"/>
        </w:rPr>
        <w:t>increased</w:t>
      </w:r>
      <w:r w:rsidR="008F5622" w:rsidRPr="0043551B">
        <w:rPr>
          <w:rFonts w:hint="eastAsia"/>
        </w:rPr>
        <w:t xml:space="preserve"> by the projects are estimated from the differences of 10 GW </w:t>
      </w:r>
      <w:r w:rsidRPr="0043551B">
        <w:t>transmission</w:t>
      </w:r>
      <w:r w:rsidRPr="0043551B">
        <w:rPr>
          <w:rFonts w:hint="eastAsia"/>
        </w:rPr>
        <w:t xml:space="preserve"> capacity</w:t>
      </w:r>
      <w:r w:rsidR="008F5622" w:rsidRPr="0043551B">
        <w:rPr>
          <w:rFonts w:hint="eastAsia"/>
        </w:rPr>
        <w:t xml:space="preserve"> model (project package 2) and 4.5 GW </w:t>
      </w:r>
      <w:r w:rsidRPr="0043551B">
        <w:rPr>
          <w:rFonts w:hint="eastAsia"/>
        </w:rPr>
        <w:t>transmission</w:t>
      </w:r>
      <w:r w:rsidR="008F5622" w:rsidRPr="0043551B">
        <w:rPr>
          <w:rFonts w:hint="eastAsia"/>
        </w:rPr>
        <w:t xml:space="preserve"> </w:t>
      </w:r>
      <w:r w:rsidRPr="0043551B">
        <w:rPr>
          <w:rFonts w:hint="eastAsia"/>
        </w:rPr>
        <w:t xml:space="preserve">capacity </w:t>
      </w:r>
      <w:r w:rsidR="008F5622" w:rsidRPr="0043551B">
        <w:rPr>
          <w:rFonts w:hint="eastAsia"/>
        </w:rPr>
        <w:t>model (current condition).</w:t>
      </w:r>
    </w:p>
    <w:p w:rsidR="008F5622" w:rsidRPr="0043551B" w:rsidRDefault="008F5622" w:rsidP="0043551B">
      <w:pPr>
        <w:pStyle w:val="b"/>
      </w:pPr>
      <w:r w:rsidRPr="0043551B">
        <w:rPr>
          <w:rFonts w:hint="eastAsia"/>
        </w:rPr>
        <w:t>Electricity demands in each project area of Group 1</w:t>
      </w:r>
      <w:r w:rsidRPr="0043551B">
        <w:rPr>
          <w:rFonts w:hint="eastAsia"/>
        </w:rPr>
        <w:t>–</w:t>
      </w:r>
      <w:r w:rsidRPr="0043551B">
        <w:rPr>
          <w:rFonts w:hint="eastAsia"/>
        </w:rPr>
        <w:t>5 are high enough to absorb whole increased volume of electricity generated by the projects from the 1st year of the operation (2019).</w:t>
      </w:r>
    </w:p>
    <w:p w:rsidR="008F5622" w:rsidRPr="000F1E04" w:rsidRDefault="008F5622" w:rsidP="0043551B">
      <w:pPr>
        <w:pStyle w:val="oboutofbullets"/>
      </w:pPr>
      <w:r w:rsidRPr="000F1E04">
        <w:rPr>
          <w:rFonts w:hint="eastAsia"/>
        </w:rPr>
        <w:t>Load factor is 70%.</w:t>
      </w:r>
    </w:p>
    <w:p w:rsidR="003D479C" w:rsidRDefault="003D479C" w:rsidP="001C7E0B">
      <w:pPr>
        <w:pStyle w:val="t"/>
        <w:rPr>
          <w:szCs w:val="20"/>
          <w:lang w:val="en-GB" w:bidi="he-IL"/>
        </w:rPr>
      </w:pPr>
      <w:r>
        <w:rPr>
          <w:rFonts w:hint="eastAsia"/>
          <w:szCs w:val="20"/>
          <w:lang w:val="en-GB" w:bidi="he-IL"/>
        </w:rPr>
        <w:t>Following figure shows the concept of increased amount of wheeled electricity by the projects.</w:t>
      </w:r>
    </w:p>
    <w:p w:rsidR="009F1B34" w:rsidRPr="003D479C" w:rsidRDefault="003D479C" w:rsidP="000F1E04">
      <w:pPr>
        <w:pStyle w:val="t"/>
        <w:jc w:val="center"/>
        <w:rPr>
          <w:b/>
          <w:szCs w:val="20"/>
          <w:lang w:val="en-GB" w:bidi="he-IL"/>
        </w:rPr>
      </w:pPr>
      <w:r w:rsidRPr="00F77221">
        <w:rPr>
          <w:rFonts w:hint="eastAsia"/>
          <w:b/>
          <w:szCs w:val="20"/>
          <w:lang w:val="en-GB" w:bidi="he-IL"/>
        </w:rPr>
        <w:lastRenderedPageBreak/>
        <w:t xml:space="preserve">Figure </w:t>
      </w:r>
      <w:proofErr w:type="gramStart"/>
      <w:r w:rsidRPr="00F77221">
        <w:rPr>
          <w:rFonts w:hint="eastAsia"/>
          <w:b/>
          <w:szCs w:val="20"/>
          <w:lang w:val="en-GB" w:bidi="he-IL"/>
        </w:rPr>
        <w:t xml:space="preserve">1  </w:t>
      </w:r>
      <w:r w:rsidRPr="00F77221">
        <w:rPr>
          <w:b/>
          <w:szCs w:val="20"/>
          <w:lang w:val="en-GB" w:bidi="he-IL"/>
        </w:rPr>
        <w:t>Load</w:t>
      </w:r>
      <w:proofErr w:type="gramEnd"/>
      <w:r w:rsidRPr="00F77221">
        <w:rPr>
          <w:b/>
          <w:szCs w:val="20"/>
          <w:lang w:val="en-GB" w:bidi="he-IL"/>
        </w:rPr>
        <w:t xml:space="preserve"> Duration Curve of Nigerian Power System</w:t>
      </w:r>
    </w:p>
    <w:p w:rsidR="00F77221" w:rsidRDefault="009263B8" w:rsidP="001C7E0B">
      <w:pPr>
        <w:pStyle w:val="t"/>
        <w:rPr>
          <w:szCs w:val="20"/>
          <w:lang w:val="en-GB" w:bidi="he-IL"/>
        </w:rPr>
      </w:pPr>
      <w:r w:rsidRPr="009263B8">
        <w:rPr>
          <w:noProof/>
        </w:rPr>
        <w:drawing>
          <wp:inline distT="0" distB="0" distL="0" distR="0">
            <wp:extent cx="4860000" cy="369641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60000" cy="3696419"/>
                    </a:xfrm>
                    <a:prstGeom prst="rect">
                      <a:avLst/>
                    </a:prstGeom>
                    <a:noFill/>
                    <a:ln>
                      <a:noFill/>
                    </a:ln>
                  </pic:spPr>
                </pic:pic>
              </a:graphicData>
            </a:graphic>
          </wp:inline>
        </w:drawing>
      </w:r>
    </w:p>
    <w:p w:rsidR="008F5622" w:rsidRDefault="008F5622" w:rsidP="001C7E0B">
      <w:pPr>
        <w:pStyle w:val="t"/>
        <w:rPr>
          <w:szCs w:val="20"/>
          <w:lang w:val="en-GB" w:bidi="he-IL"/>
        </w:rPr>
      </w:pPr>
      <w:r w:rsidRPr="008F5622">
        <w:rPr>
          <w:szCs w:val="20"/>
          <w:lang w:val="en-GB" w:bidi="he-IL"/>
        </w:rPr>
        <w:t xml:space="preserve">Increased </w:t>
      </w:r>
      <w:r>
        <w:rPr>
          <w:rFonts w:hint="eastAsia"/>
          <w:szCs w:val="20"/>
          <w:lang w:val="en-GB" w:bidi="he-IL"/>
        </w:rPr>
        <w:t>a</w:t>
      </w:r>
      <w:r w:rsidRPr="008F5622">
        <w:rPr>
          <w:szCs w:val="20"/>
          <w:lang w:val="en-GB" w:bidi="he-IL"/>
        </w:rPr>
        <w:t xml:space="preserve">nnual </w:t>
      </w:r>
      <w:r>
        <w:rPr>
          <w:rFonts w:hint="eastAsia"/>
          <w:szCs w:val="20"/>
          <w:lang w:val="en-GB" w:bidi="he-IL"/>
        </w:rPr>
        <w:t>e</w:t>
      </w:r>
      <w:r w:rsidRPr="008F5622">
        <w:rPr>
          <w:szCs w:val="20"/>
          <w:lang w:val="en-GB" w:bidi="he-IL"/>
        </w:rPr>
        <w:t xml:space="preserve">lectricity </w:t>
      </w:r>
      <w:r>
        <w:rPr>
          <w:rFonts w:hint="eastAsia"/>
          <w:szCs w:val="20"/>
          <w:lang w:val="en-GB" w:bidi="he-IL"/>
        </w:rPr>
        <w:t>w</w:t>
      </w:r>
      <w:r w:rsidRPr="008F5622">
        <w:rPr>
          <w:szCs w:val="20"/>
          <w:lang w:val="en-GB" w:bidi="he-IL"/>
        </w:rPr>
        <w:t>heeled in each Group</w:t>
      </w:r>
      <w:r>
        <w:rPr>
          <w:rFonts w:hint="eastAsia"/>
          <w:szCs w:val="20"/>
          <w:lang w:val="en-GB" w:bidi="he-IL"/>
        </w:rPr>
        <w:t xml:space="preserve"> is </w:t>
      </w:r>
      <w:r w:rsidR="00063AC5">
        <w:rPr>
          <w:rFonts w:hint="eastAsia"/>
          <w:szCs w:val="20"/>
          <w:lang w:val="en-GB" w:bidi="he-IL"/>
        </w:rPr>
        <w:t>as follows.</w:t>
      </w:r>
    </w:p>
    <w:p w:rsidR="004B647E" w:rsidRPr="000F1E04" w:rsidRDefault="004B647E" w:rsidP="00C341B0">
      <w:pPr>
        <w:pStyle w:val="t"/>
        <w:keepNext/>
        <w:jc w:val="center"/>
        <w:rPr>
          <w:b/>
          <w:szCs w:val="20"/>
          <w:lang w:val="en-GB" w:bidi="he-IL"/>
        </w:rPr>
      </w:pPr>
      <w:r w:rsidRPr="000F1E04">
        <w:rPr>
          <w:rFonts w:hint="eastAsia"/>
          <w:b/>
          <w:szCs w:val="20"/>
          <w:lang w:val="en-GB" w:bidi="he-IL"/>
        </w:rPr>
        <w:t xml:space="preserve">Table </w:t>
      </w:r>
      <w:proofErr w:type="gramStart"/>
      <w:r w:rsidR="00552336" w:rsidRPr="000F1E04">
        <w:rPr>
          <w:rFonts w:hint="eastAsia"/>
          <w:b/>
          <w:szCs w:val="20"/>
          <w:lang w:val="en-GB" w:bidi="he-IL"/>
        </w:rPr>
        <w:t xml:space="preserve">2 </w:t>
      </w:r>
      <w:r w:rsidRPr="000F1E04">
        <w:rPr>
          <w:rFonts w:hint="eastAsia"/>
          <w:b/>
          <w:szCs w:val="20"/>
          <w:lang w:val="en-GB" w:bidi="he-IL"/>
        </w:rPr>
        <w:t xml:space="preserve"> </w:t>
      </w:r>
      <w:r w:rsidRPr="000F1E04">
        <w:rPr>
          <w:b/>
          <w:szCs w:val="20"/>
          <w:lang w:val="en-GB" w:bidi="he-IL"/>
        </w:rPr>
        <w:t>Increased</w:t>
      </w:r>
      <w:proofErr w:type="gramEnd"/>
      <w:r w:rsidRPr="000F1E04">
        <w:rPr>
          <w:b/>
          <w:szCs w:val="20"/>
          <w:lang w:val="en-GB" w:bidi="he-IL"/>
        </w:rPr>
        <w:t xml:space="preserve"> Annual Electricity </w:t>
      </w:r>
      <w:r w:rsidR="0077066C" w:rsidRPr="000F1E04">
        <w:rPr>
          <w:rFonts w:hint="eastAsia"/>
          <w:b/>
          <w:szCs w:val="20"/>
          <w:lang w:val="en-GB" w:bidi="he-IL"/>
        </w:rPr>
        <w:t>by</w:t>
      </w:r>
      <w:r w:rsidRPr="000F1E04">
        <w:rPr>
          <w:b/>
          <w:szCs w:val="20"/>
          <w:lang w:val="en-GB" w:bidi="he-IL"/>
        </w:rPr>
        <w:t xml:space="preserve"> </w:t>
      </w:r>
      <w:r w:rsidR="0077066C" w:rsidRPr="000F1E04">
        <w:rPr>
          <w:rFonts w:hint="eastAsia"/>
          <w:b/>
          <w:szCs w:val="20"/>
          <w:lang w:val="en-GB" w:bidi="he-IL"/>
        </w:rPr>
        <w:t>Project Groups</w:t>
      </w:r>
      <w:r w:rsidR="000F1E04" w:rsidRPr="000F1E04">
        <w:rPr>
          <w:b/>
          <w:szCs w:val="20"/>
          <w:lang w:val="en-GB" w:bidi="he-IL"/>
        </w:rPr>
        <w:t xml:space="preserve"> </w:t>
      </w:r>
      <w:r w:rsidRPr="000F1E04">
        <w:rPr>
          <w:b/>
          <w:szCs w:val="20"/>
          <w:lang w:val="en-GB" w:bidi="he-IL"/>
        </w:rPr>
        <w:t>(</w:t>
      </w:r>
      <w:proofErr w:type="spellStart"/>
      <w:r w:rsidRPr="000F1E04">
        <w:rPr>
          <w:b/>
          <w:szCs w:val="20"/>
          <w:lang w:val="en-GB" w:bidi="he-IL"/>
        </w:rPr>
        <w:t>GWh</w:t>
      </w:r>
      <w:proofErr w:type="spellEnd"/>
      <w:r w:rsidRPr="000F1E04">
        <w:rPr>
          <w:b/>
          <w:szCs w:val="20"/>
          <w:lang w:val="en-GB" w:bidi="he-IL"/>
        </w:rPr>
        <w:t>/year)</w:t>
      </w:r>
    </w:p>
    <w:tbl>
      <w:tblPr>
        <w:tblStyle w:val="TableGrid"/>
        <w:tblW w:w="0" w:type="auto"/>
        <w:jc w:val="center"/>
        <w:tblInd w:w="-582" w:type="dxa"/>
        <w:tblLook w:val="04A0"/>
      </w:tblPr>
      <w:tblGrid>
        <w:gridCol w:w="1770"/>
        <w:gridCol w:w="3387"/>
        <w:gridCol w:w="2320"/>
      </w:tblGrid>
      <w:tr w:rsidR="004B647E" w:rsidRPr="004B647E" w:rsidTr="000F1E04">
        <w:trPr>
          <w:trHeight w:val="270"/>
          <w:jc w:val="center"/>
        </w:trPr>
        <w:tc>
          <w:tcPr>
            <w:tcW w:w="1770" w:type="dxa"/>
            <w:noWrap/>
            <w:vAlign w:val="center"/>
            <w:hideMark/>
          </w:tcPr>
          <w:p w:rsidR="004B647E" w:rsidRPr="004B647E" w:rsidRDefault="00053BB4" w:rsidP="00C341B0">
            <w:pPr>
              <w:pStyle w:val="t"/>
              <w:keepNext/>
              <w:spacing w:before="40" w:after="40"/>
              <w:rPr>
                <w:szCs w:val="20"/>
                <w:lang w:bidi="he-IL"/>
              </w:rPr>
            </w:pPr>
            <w:r>
              <w:rPr>
                <w:rFonts w:hint="eastAsia"/>
                <w:szCs w:val="20"/>
                <w:lang w:bidi="he-IL"/>
              </w:rPr>
              <w:t>Group</w:t>
            </w:r>
          </w:p>
        </w:tc>
        <w:tc>
          <w:tcPr>
            <w:tcW w:w="3387" w:type="dxa"/>
            <w:noWrap/>
            <w:vAlign w:val="center"/>
            <w:hideMark/>
          </w:tcPr>
          <w:p w:rsidR="004B647E" w:rsidRPr="004B647E" w:rsidRDefault="004B647E" w:rsidP="00C341B0">
            <w:pPr>
              <w:pStyle w:val="t"/>
              <w:keepNext/>
              <w:spacing w:before="40" w:after="40"/>
              <w:rPr>
                <w:szCs w:val="20"/>
                <w:lang w:bidi="he-IL"/>
              </w:rPr>
            </w:pPr>
            <w:r>
              <w:rPr>
                <w:rFonts w:hint="eastAsia"/>
                <w:szCs w:val="20"/>
                <w:lang w:bidi="he-IL"/>
              </w:rPr>
              <w:t>Areas</w:t>
            </w:r>
          </w:p>
        </w:tc>
        <w:tc>
          <w:tcPr>
            <w:tcW w:w="2320" w:type="dxa"/>
            <w:vAlign w:val="center"/>
          </w:tcPr>
          <w:p w:rsidR="004B647E" w:rsidRDefault="00053BB4" w:rsidP="00C341B0">
            <w:pPr>
              <w:pStyle w:val="t"/>
              <w:keepNext/>
              <w:spacing w:before="40" w:after="40"/>
              <w:jc w:val="center"/>
              <w:rPr>
                <w:rFonts w:ascii="MS PGothic" w:eastAsia="MS PGothic" w:hAnsi="MS PGothic" w:cs="MS PGothic"/>
                <w:color w:val="000000"/>
              </w:rPr>
            </w:pPr>
            <w:r>
              <w:rPr>
                <w:rFonts w:hint="eastAsia"/>
                <w:color w:val="000000"/>
              </w:rPr>
              <w:t>Increased annual electricity</w:t>
            </w:r>
          </w:p>
        </w:tc>
      </w:tr>
      <w:tr w:rsidR="004B647E" w:rsidRPr="004B647E" w:rsidTr="000F1E04">
        <w:trPr>
          <w:trHeight w:val="270"/>
          <w:jc w:val="center"/>
        </w:trPr>
        <w:tc>
          <w:tcPr>
            <w:tcW w:w="1770" w:type="dxa"/>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Group-1</w:t>
            </w:r>
          </w:p>
        </w:tc>
        <w:tc>
          <w:tcPr>
            <w:tcW w:w="3387" w:type="dxa"/>
            <w:noWrap/>
            <w:vAlign w:val="center"/>
            <w:hideMark/>
          </w:tcPr>
          <w:p w:rsidR="004B647E" w:rsidRPr="004B647E" w:rsidRDefault="004B647E" w:rsidP="00C341B0">
            <w:pPr>
              <w:pStyle w:val="t"/>
              <w:keepNext/>
              <w:spacing w:before="40" w:after="40"/>
              <w:rPr>
                <w:szCs w:val="20"/>
                <w:lang w:bidi="he-IL"/>
              </w:rPr>
            </w:pPr>
            <w:proofErr w:type="spellStart"/>
            <w:r w:rsidRPr="004B647E">
              <w:rPr>
                <w:rFonts w:hint="eastAsia"/>
                <w:szCs w:val="20"/>
                <w:lang w:bidi="he-IL"/>
              </w:rPr>
              <w:t>Kainji-Birnin</w:t>
            </w:r>
            <w:proofErr w:type="spellEnd"/>
            <w:r w:rsidRPr="004B647E">
              <w:rPr>
                <w:rFonts w:hint="eastAsia"/>
                <w:szCs w:val="20"/>
                <w:lang w:bidi="he-IL"/>
              </w:rPr>
              <w:t xml:space="preserve"> </w:t>
            </w:r>
            <w:proofErr w:type="spellStart"/>
            <w:r w:rsidRPr="004B647E">
              <w:rPr>
                <w:rFonts w:hint="eastAsia"/>
                <w:szCs w:val="20"/>
                <w:lang w:bidi="he-IL"/>
              </w:rPr>
              <w:t>Kebbi-Gusau</w:t>
            </w:r>
            <w:proofErr w:type="spellEnd"/>
          </w:p>
        </w:tc>
        <w:tc>
          <w:tcPr>
            <w:tcW w:w="2320" w:type="dxa"/>
            <w:vAlign w:val="center"/>
          </w:tcPr>
          <w:p w:rsidR="004B647E" w:rsidRDefault="004B647E" w:rsidP="00C341B0">
            <w:pPr>
              <w:pStyle w:val="t"/>
              <w:keepNext/>
              <w:spacing w:before="40" w:after="40"/>
              <w:jc w:val="center"/>
              <w:rPr>
                <w:rFonts w:ascii="MS PGothic" w:eastAsia="MS PGothic" w:hAnsi="MS PGothic" w:cs="MS PGothic"/>
                <w:color w:val="000000"/>
              </w:rPr>
            </w:pPr>
            <w:r>
              <w:rPr>
                <w:rFonts w:hint="eastAsia"/>
                <w:color w:val="000000"/>
              </w:rPr>
              <w:t>5,253</w:t>
            </w:r>
          </w:p>
        </w:tc>
      </w:tr>
      <w:tr w:rsidR="004B647E" w:rsidRPr="004B647E" w:rsidTr="000F1E04">
        <w:trPr>
          <w:trHeight w:val="270"/>
          <w:jc w:val="center"/>
        </w:trPr>
        <w:tc>
          <w:tcPr>
            <w:tcW w:w="1770" w:type="dxa"/>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Group-2</w:t>
            </w:r>
          </w:p>
        </w:tc>
        <w:tc>
          <w:tcPr>
            <w:tcW w:w="3387" w:type="dxa"/>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Lagos</w:t>
            </w:r>
          </w:p>
        </w:tc>
        <w:tc>
          <w:tcPr>
            <w:tcW w:w="2320" w:type="dxa"/>
            <w:vAlign w:val="center"/>
          </w:tcPr>
          <w:p w:rsidR="004B647E" w:rsidRDefault="004B647E" w:rsidP="00C341B0">
            <w:pPr>
              <w:pStyle w:val="t"/>
              <w:keepNext/>
              <w:spacing w:before="40" w:after="40"/>
              <w:jc w:val="center"/>
              <w:rPr>
                <w:rFonts w:ascii="MS PGothic" w:eastAsia="MS PGothic" w:hAnsi="MS PGothic" w:cs="MS PGothic"/>
                <w:color w:val="000000"/>
              </w:rPr>
            </w:pPr>
            <w:r>
              <w:rPr>
                <w:rFonts w:hint="eastAsia"/>
                <w:color w:val="000000"/>
              </w:rPr>
              <w:t>9,510</w:t>
            </w:r>
          </w:p>
        </w:tc>
      </w:tr>
      <w:tr w:rsidR="004B647E" w:rsidRPr="004B647E" w:rsidTr="000F1E04">
        <w:trPr>
          <w:trHeight w:val="270"/>
          <w:jc w:val="center"/>
        </w:trPr>
        <w:tc>
          <w:tcPr>
            <w:tcW w:w="1770" w:type="dxa"/>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Group-3</w:t>
            </w:r>
          </w:p>
        </w:tc>
        <w:tc>
          <w:tcPr>
            <w:tcW w:w="3387" w:type="dxa"/>
            <w:noWrap/>
            <w:vAlign w:val="center"/>
            <w:hideMark/>
          </w:tcPr>
          <w:p w:rsidR="004B647E" w:rsidRPr="004B647E" w:rsidRDefault="004B647E" w:rsidP="00C341B0">
            <w:pPr>
              <w:pStyle w:val="t"/>
              <w:keepNext/>
              <w:spacing w:before="40" w:after="40"/>
              <w:rPr>
                <w:szCs w:val="20"/>
                <w:lang w:bidi="he-IL"/>
              </w:rPr>
            </w:pPr>
            <w:proofErr w:type="spellStart"/>
            <w:r w:rsidRPr="004B647E">
              <w:rPr>
                <w:rFonts w:hint="eastAsia"/>
                <w:szCs w:val="20"/>
                <w:lang w:bidi="he-IL"/>
              </w:rPr>
              <w:t>Jos-Gombe-Damaturu</w:t>
            </w:r>
            <w:proofErr w:type="spellEnd"/>
          </w:p>
        </w:tc>
        <w:tc>
          <w:tcPr>
            <w:tcW w:w="2320" w:type="dxa"/>
            <w:vAlign w:val="center"/>
          </w:tcPr>
          <w:p w:rsidR="004B647E" w:rsidRDefault="004B647E" w:rsidP="00C341B0">
            <w:pPr>
              <w:pStyle w:val="t"/>
              <w:keepNext/>
              <w:spacing w:before="40" w:after="40"/>
              <w:jc w:val="center"/>
              <w:rPr>
                <w:rFonts w:ascii="MS PGothic" w:eastAsia="MS PGothic" w:hAnsi="MS PGothic" w:cs="MS PGothic"/>
                <w:color w:val="000000"/>
              </w:rPr>
            </w:pPr>
            <w:r>
              <w:rPr>
                <w:rFonts w:hint="eastAsia"/>
                <w:color w:val="000000"/>
              </w:rPr>
              <w:t>2,256</w:t>
            </w:r>
          </w:p>
        </w:tc>
      </w:tr>
      <w:tr w:rsidR="004B647E" w:rsidRPr="004B647E" w:rsidTr="000F1E04">
        <w:trPr>
          <w:trHeight w:val="270"/>
          <w:jc w:val="center"/>
        </w:trPr>
        <w:tc>
          <w:tcPr>
            <w:tcW w:w="1770" w:type="dxa"/>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Group-4</w:t>
            </w:r>
          </w:p>
        </w:tc>
        <w:tc>
          <w:tcPr>
            <w:tcW w:w="3387" w:type="dxa"/>
            <w:noWrap/>
            <w:vAlign w:val="center"/>
            <w:hideMark/>
          </w:tcPr>
          <w:p w:rsidR="004B647E" w:rsidRPr="004B647E" w:rsidRDefault="004B647E" w:rsidP="00C341B0">
            <w:pPr>
              <w:pStyle w:val="t"/>
              <w:keepNext/>
              <w:spacing w:before="40" w:after="40"/>
              <w:rPr>
                <w:szCs w:val="20"/>
                <w:lang w:bidi="he-IL"/>
              </w:rPr>
            </w:pPr>
            <w:proofErr w:type="spellStart"/>
            <w:r w:rsidRPr="004B647E">
              <w:rPr>
                <w:rFonts w:hint="eastAsia"/>
                <w:szCs w:val="20"/>
                <w:lang w:bidi="he-IL"/>
              </w:rPr>
              <w:t>Awka-Ugwuaji-Jos</w:t>
            </w:r>
            <w:proofErr w:type="spellEnd"/>
          </w:p>
        </w:tc>
        <w:tc>
          <w:tcPr>
            <w:tcW w:w="2320" w:type="dxa"/>
            <w:vAlign w:val="center"/>
          </w:tcPr>
          <w:p w:rsidR="004B647E" w:rsidRDefault="004B647E" w:rsidP="00C341B0">
            <w:pPr>
              <w:pStyle w:val="t"/>
              <w:keepNext/>
              <w:spacing w:before="40" w:after="40"/>
              <w:jc w:val="center"/>
              <w:rPr>
                <w:rFonts w:ascii="MS PGothic" w:eastAsia="MS PGothic" w:hAnsi="MS PGothic" w:cs="MS PGothic"/>
                <w:color w:val="000000"/>
              </w:rPr>
            </w:pPr>
            <w:r>
              <w:rPr>
                <w:rFonts w:hint="eastAsia"/>
                <w:color w:val="000000"/>
              </w:rPr>
              <w:t>3,104</w:t>
            </w:r>
          </w:p>
        </w:tc>
      </w:tr>
      <w:tr w:rsidR="004B647E" w:rsidRPr="004B647E" w:rsidTr="000F1E04">
        <w:trPr>
          <w:trHeight w:val="285"/>
          <w:jc w:val="center"/>
        </w:trPr>
        <w:tc>
          <w:tcPr>
            <w:tcW w:w="1770" w:type="dxa"/>
            <w:tcBorders>
              <w:bottom w:val="double" w:sz="4" w:space="0" w:color="auto"/>
            </w:tcBorders>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Group-5</w:t>
            </w:r>
          </w:p>
        </w:tc>
        <w:tc>
          <w:tcPr>
            <w:tcW w:w="3387" w:type="dxa"/>
            <w:tcBorders>
              <w:bottom w:val="double" w:sz="4" w:space="0" w:color="auto"/>
            </w:tcBorders>
            <w:noWrap/>
            <w:vAlign w:val="center"/>
            <w:hideMark/>
          </w:tcPr>
          <w:p w:rsidR="004B647E" w:rsidRPr="004B647E" w:rsidRDefault="004B647E" w:rsidP="00C341B0">
            <w:pPr>
              <w:pStyle w:val="t"/>
              <w:keepNext/>
              <w:spacing w:before="40" w:after="40"/>
              <w:rPr>
                <w:szCs w:val="20"/>
                <w:lang w:bidi="he-IL"/>
              </w:rPr>
            </w:pPr>
            <w:r w:rsidRPr="004B647E">
              <w:rPr>
                <w:rFonts w:hint="eastAsia"/>
                <w:szCs w:val="20"/>
                <w:lang w:bidi="he-IL"/>
              </w:rPr>
              <w:t>Benin-</w:t>
            </w:r>
            <w:proofErr w:type="spellStart"/>
            <w:r w:rsidRPr="004B647E">
              <w:rPr>
                <w:rFonts w:hint="eastAsia"/>
                <w:szCs w:val="20"/>
                <w:lang w:bidi="he-IL"/>
              </w:rPr>
              <w:t>Katampe</w:t>
            </w:r>
            <w:proofErr w:type="spellEnd"/>
          </w:p>
        </w:tc>
        <w:tc>
          <w:tcPr>
            <w:tcW w:w="2320" w:type="dxa"/>
            <w:tcBorders>
              <w:bottom w:val="double" w:sz="4" w:space="0" w:color="auto"/>
            </w:tcBorders>
            <w:vAlign w:val="center"/>
          </w:tcPr>
          <w:p w:rsidR="004B647E" w:rsidRDefault="004B647E" w:rsidP="00C341B0">
            <w:pPr>
              <w:pStyle w:val="t"/>
              <w:keepNext/>
              <w:spacing w:before="40" w:after="40"/>
              <w:jc w:val="center"/>
              <w:rPr>
                <w:rFonts w:ascii="MS PGothic" w:eastAsia="MS PGothic" w:hAnsi="MS PGothic" w:cs="MS PGothic"/>
                <w:color w:val="000000"/>
              </w:rPr>
            </w:pPr>
            <w:r>
              <w:rPr>
                <w:rFonts w:hint="eastAsia"/>
                <w:color w:val="000000"/>
              </w:rPr>
              <w:t>1,629</w:t>
            </w:r>
          </w:p>
        </w:tc>
      </w:tr>
      <w:tr w:rsidR="004B647E" w:rsidRPr="004B647E" w:rsidTr="000F1E04">
        <w:trPr>
          <w:trHeight w:val="285"/>
          <w:jc w:val="center"/>
        </w:trPr>
        <w:tc>
          <w:tcPr>
            <w:tcW w:w="1770" w:type="dxa"/>
            <w:tcBorders>
              <w:top w:val="double" w:sz="4" w:space="0" w:color="auto"/>
            </w:tcBorders>
            <w:noWrap/>
            <w:vAlign w:val="center"/>
            <w:hideMark/>
          </w:tcPr>
          <w:p w:rsidR="004B647E" w:rsidRPr="004B647E" w:rsidRDefault="004B647E" w:rsidP="000F1E04">
            <w:pPr>
              <w:pStyle w:val="t"/>
              <w:spacing w:before="40" w:after="40"/>
              <w:rPr>
                <w:szCs w:val="20"/>
                <w:lang w:bidi="he-IL"/>
              </w:rPr>
            </w:pPr>
            <w:r w:rsidRPr="004B647E">
              <w:rPr>
                <w:rFonts w:hint="eastAsia"/>
                <w:szCs w:val="20"/>
                <w:lang w:bidi="he-IL"/>
              </w:rPr>
              <w:t>Total</w:t>
            </w:r>
          </w:p>
        </w:tc>
        <w:tc>
          <w:tcPr>
            <w:tcW w:w="3387" w:type="dxa"/>
            <w:tcBorders>
              <w:top w:val="double" w:sz="4" w:space="0" w:color="auto"/>
            </w:tcBorders>
            <w:noWrap/>
            <w:vAlign w:val="center"/>
            <w:hideMark/>
          </w:tcPr>
          <w:p w:rsidR="004B647E" w:rsidRPr="004B647E" w:rsidRDefault="004B647E" w:rsidP="000F1E04">
            <w:pPr>
              <w:pStyle w:val="t"/>
              <w:spacing w:before="40" w:after="40"/>
              <w:rPr>
                <w:szCs w:val="20"/>
                <w:lang w:bidi="he-IL"/>
              </w:rPr>
            </w:pPr>
          </w:p>
        </w:tc>
        <w:tc>
          <w:tcPr>
            <w:tcW w:w="2320" w:type="dxa"/>
            <w:tcBorders>
              <w:top w:val="double" w:sz="4" w:space="0" w:color="auto"/>
            </w:tcBorders>
            <w:vAlign w:val="center"/>
          </w:tcPr>
          <w:p w:rsidR="004B647E" w:rsidRDefault="004B647E" w:rsidP="000F1E04">
            <w:pPr>
              <w:pStyle w:val="t"/>
              <w:spacing w:before="40" w:after="40"/>
              <w:jc w:val="center"/>
              <w:rPr>
                <w:rFonts w:ascii="MS PGothic" w:eastAsia="MS PGothic" w:hAnsi="MS PGothic" w:cs="MS PGothic"/>
                <w:color w:val="000000"/>
              </w:rPr>
            </w:pPr>
            <w:r>
              <w:rPr>
                <w:rFonts w:hint="eastAsia"/>
                <w:color w:val="000000"/>
              </w:rPr>
              <w:t>21,752</w:t>
            </w:r>
          </w:p>
        </w:tc>
      </w:tr>
    </w:tbl>
    <w:p w:rsidR="008F5622" w:rsidRPr="008F5622" w:rsidRDefault="008F5622" w:rsidP="001C7E0B">
      <w:pPr>
        <w:pStyle w:val="t"/>
        <w:rPr>
          <w:szCs w:val="20"/>
          <w:lang w:val="en-GB" w:bidi="he-IL"/>
        </w:rPr>
      </w:pPr>
    </w:p>
    <w:p w:rsidR="00824C3F" w:rsidRDefault="00824C3F" w:rsidP="000F1E04">
      <w:pPr>
        <w:pStyle w:val="Heading3"/>
      </w:pPr>
      <w:bookmarkStart w:id="4" w:name="_Toc381199840"/>
      <w:r>
        <w:rPr>
          <w:rFonts w:hint="eastAsia"/>
        </w:rPr>
        <w:t>Electricity Tariff</w:t>
      </w:r>
      <w:bookmarkEnd w:id="4"/>
    </w:p>
    <w:p w:rsidR="00824C3F" w:rsidRDefault="00041870" w:rsidP="001C7E0B">
      <w:pPr>
        <w:pStyle w:val="t"/>
        <w:rPr>
          <w:szCs w:val="20"/>
          <w:lang w:val="en-GB" w:bidi="he-IL"/>
        </w:rPr>
      </w:pPr>
      <w:r>
        <w:rPr>
          <w:rFonts w:hint="eastAsia"/>
          <w:szCs w:val="20"/>
          <w:lang w:val="en-GB" w:bidi="he-IL"/>
        </w:rPr>
        <w:t xml:space="preserve">The </w:t>
      </w:r>
      <w:r>
        <w:rPr>
          <w:szCs w:val="20"/>
          <w:lang w:val="en-GB" w:bidi="he-IL"/>
        </w:rPr>
        <w:t xml:space="preserve">Nigerian electricity industry </w:t>
      </w:r>
      <w:r w:rsidR="001220A4">
        <w:rPr>
          <w:szCs w:val="20"/>
          <w:lang w:val="en-GB" w:bidi="he-IL"/>
        </w:rPr>
        <w:t>is</w:t>
      </w:r>
      <w:r>
        <w:rPr>
          <w:rFonts w:hint="eastAsia"/>
          <w:szCs w:val="20"/>
          <w:lang w:val="en-GB" w:bidi="he-IL"/>
        </w:rPr>
        <w:t xml:space="preserve"> comprised of following three </w:t>
      </w:r>
      <w:r w:rsidR="001220A4">
        <w:rPr>
          <w:szCs w:val="20"/>
          <w:lang w:val="en-GB" w:bidi="he-IL"/>
        </w:rPr>
        <w:t>sectors</w:t>
      </w:r>
      <w:r>
        <w:rPr>
          <w:rFonts w:hint="eastAsia"/>
          <w:szCs w:val="20"/>
          <w:lang w:val="en-GB" w:bidi="he-IL"/>
        </w:rPr>
        <w:t xml:space="preserve">: power </w:t>
      </w:r>
      <w:r w:rsidR="00AA506A">
        <w:rPr>
          <w:rFonts w:hint="eastAsia"/>
          <w:szCs w:val="20"/>
          <w:lang w:val="en-GB" w:bidi="he-IL"/>
        </w:rPr>
        <w:t xml:space="preserve">generation </w:t>
      </w:r>
      <w:r>
        <w:rPr>
          <w:rFonts w:hint="eastAsia"/>
          <w:szCs w:val="20"/>
          <w:lang w:val="en-GB" w:bidi="he-IL"/>
        </w:rPr>
        <w:t>compan</w:t>
      </w:r>
      <w:r w:rsidR="001220A4">
        <w:rPr>
          <w:szCs w:val="20"/>
          <w:lang w:val="en-GB" w:bidi="he-IL"/>
        </w:rPr>
        <w:t>ies</w:t>
      </w:r>
      <w:r>
        <w:rPr>
          <w:rFonts w:hint="eastAsia"/>
          <w:szCs w:val="20"/>
          <w:lang w:val="en-GB" w:bidi="he-IL"/>
        </w:rPr>
        <w:t xml:space="preserve">, </w:t>
      </w:r>
      <w:proofErr w:type="gramStart"/>
      <w:r w:rsidR="00AA506A">
        <w:rPr>
          <w:rFonts w:hint="eastAsia"/>
          <w:szCs w:val="20"/>
          <w:lang w:val="en-GB" w:bidi="he-IL"/>
        </w:rPr>
        <w:t>transmission</w:t>
      </w:r>
      <w:r w:rsidR="009263B8">
        <w:rPr>
          <w:rFonts w:hint="eastAsia"/>
          <w:szCs w:val="20"/>
          <w:lang w:val="en-GB" w:bidi="he-IL"/>
        </w:rPr>
        <w:t xml:space="preserve"> </w:t>
      </w:r>
      <w:r w:rsidR="00CE2894">
        <w:rPr>
          <w:rFonts w:hint="eastAsia"/>
          <w:szCs w:val="20"/>
          <w:lang w:val="en-GB" w:bidi="he-IL"/>
        </w:rPr>
        <w:t>company</w:t>
      </w:r>
      <w:proofErr w:type="gramEnd"/>
      <w:r w:rsidR="00CE2894">
        <w:rPr>
          <w:rFonts w:hint="eastAsia"/>
          <w:szCs w:val="20"/>
          <w:lang w:val="en-GB" w:bidi="he-IL"/>
        </w:rPr>
        <w:t xml:space="preserve"> and </w:t>
      </w:r>
      <w:r w:rsidR="00AA506A">
        <w:rPr>
          <w:rFonts w:hint="eastAsia"/>
          <w:szCs w:val="20"/>
          <w:lang w:val="en-GB" w:bidi="he-IL"/>
        </w:rPr>
        <w:t xml:space="preserve">distribution </w:t>
      </w:r>
      <w:r>
        <w:rPr>
          <w:szCs w:val="20"/>
          <w:lang w:val="en-GB" w:bidi="he-IL"/>
        </w:rPr>
        <w:lastRenderedPageBreak/>
        <w:t>companies</w:t>
      </w:r>
      <w:r>
        <w:rPr>
          <w:rFonts w:hint="eastAsia"/>
          <w:szCs w:val="20"/>
          <w:lang w:val="en-GB" w:bidi="he-IL"/>
        </w:rPr>
        <w:t xml:space="preserve">. In evaluation of economic benefit, only the charges on the customers should be considered, therefore the charges of distribution companies were focused in the calculation. There are 11 distribution companies operating </w:t>
      </w:r>
      <w:r w:rsidR="0041058F">
        <w:rPr>
          <w:rFonts w:hint="eastAsia"/>
          <w:szCs w:val="20"/>
          <w:lang w:val="en-GB" w:bidi="he-IL"/>
        </w:rPr>
        <w:t xml:space="preserve">in each region, which are Abuja, Benin, </w:t>
      </w:r>
      <w:proofErr w:type="spellStart"/>
      <w:r w:rsidR="0041058F">
        <w:rPr>
          <w:rFonts w:hint="eastAsia"/>
          <w:szCs w:val="20"/>
          <w:lang w:val="en-GB" w:bidi="he-IL"/>
        </w:rPr>
        <w:t>Eko</w:t>
      </w:r>
      <w:proofErr w:type="spellEnd"/>
      <w:r w:rsidR="0041058F">
        <w:rPr>
          <w:rFonts w:hint="eastAsia"/>
          <w:szCs w:val="20"/>
          <w:lang w:val="en-GB" w:bidi="he-IL"/>
        </w:rPr>
        <w:t xml:space="preserve">, Enugu, Ibadan, </w:t>
      </w:r>
      <w:proofErr w:type="spellStart"/>
      <w:r w:rsidR="0041058F">
        <w:rPr>
          <w:rFonts w:hint="eastAsia"/>
          <w:szCs w:val="20"/>
          <w:lang w:val="en-GB" w:bidi="he-IL"/>
        </w:rPr>
        <w:t>Ikeja</w:t>
      </w:r>
      <w:proofErr w:type="spellEnd"/>
      <w:r w:rsidR="0041058F">
        <w:rPr>
          <w:rFonts w:hint="eastAsia"/>
          <w:szCs w:val="20"/>
          <w:lang w:val="en-GB" w:bidi="he-IL"/>
        </w:rPr>
        <w:t xml:space="preserve">, </w:t>
      </w:r>
      <w:proofErr w:type="spellStart"/>
      <w:r w:rsidR="0041058F">
        <w:rPr>
          <w:rFonts w:hint="eastAsia"/>
          <w:szCs w:val="20"/>
          <w:lang w:val="en-GB" w:bidi="he-IL"/>
        </w:rPr>
        <w:t>Jos</w:t>
      </w:r>
      <w:proofErr w:type="spellEnd"/>
      <w:r w:rsidR="0041058F">
        <w:rPr>
          <w:rFonts w:hint="eastAsia"/>
          <w:szCs w:val="20"/>
          <w:lang w:val="en-GB" w:bidi="he-IL"/>
        </w:rPr>
        <w:t xml:space="preserve">, Kaduna, Kano, Port Harcourt and </w:t>
      </w:r>
      <w:proofErr w:type="spellStart"/>
      <w:r w:rsidR="0041058F">
        <w:rPr>
          <w:rFonts w:hint="eastAsia"/>
          <w:szCs w:val="20"/>
          <w:lang w:val="en-GB" w:bidi="he-IL"/>
        </w:rPr>
        <w:t>Yola</w:t>
      </w:r>
      <w:proofErr w:type="spellEnd"/>
      <w:r w:rsidR="0041058F">
        <w:rPr>
          <w:rFonts w:hint="eastAsia"/>
          <w:szCs w:val="20"/>
          <w:lang w:val="en-GB" w:bidi="he-IL"/>
        </w:rPr>
        <w:t xml:space="preserve">. </w:t>
      </w:r>
      <w:r w:rsidR="00CE2894">
        <w:rPr>
          <w:szCs w:val="20"/>
          <w:lang w:val="en-GB" w:bidi="he-IL"/>
        </w:rPr>
        <w:t>Distribut</w:t>
      </w:r>
      <w:r w:rsidR="00CE2894">
        <w:rPr>
          <w:rFonts w:hint="eastAsia"/>
          <w:szCs w:val="20"/>
          <w:lang w:val="en-GB" w:bidi="he-IL"/>
        </w:rPr>
        <w:t>ion</w:t>
      </w:r>
      <w:r w:rsidR="0041058F">
        <w:rPr>
          <w:rFonts w:hint="eastAsia"/>
          <w:szCs w:val="20"/>
          <w:lang w:val="en-GB" w:bidi="he-IL"/>
        </w:rPr>
        <w:t xml:space="preserve"> </w:t>
      </w:r>
      <w:r w:rsidR="0041058F">
        <w:rPr>
          <w:szCs w:val="20"/>
          <w:lang w:val="en-GB" w:bidi="he-IL"/>
        </w:rPr>
        <w:t>compan</w:t>
      </w:r>
      <w:r w:rsidR="0041058F">
        <w:rPr>
          <w:rFonts w:hint="eastAsia"/>
          <w:szCs w:val="20"/>
          <w:lang w:val="en-GB" w:bidi="he-IL"/>
        </w:rPr>
        <w:t>ies correspond</w:t>
      </w:r>
      <w:r w:rsidR="00CE2894">
        <w:rPr>
          <w:rFonts w:hint="eastAsia"/>
          <w:szCs w:val="20"/>
          <w:lang w:val="en-GB" w:bidi="he-IL"/>
        </w:rPr>
        <w:t>ing</w:t>
      </w:r>
      <w:r w:rsidR="0041058F">
        <w:rPr>
          <w:rFonts w:hint="eastAsia"/>
          <w:szCs w:val="20"/>
          <w:lang w:val="en-GB" w:bidi="he-IL"/>
        </w:rPr>
        <w:t xml:space="preserve"> to each </w:t>
      </w:r>
      <w:r w:rsidR="001220A4">
        <w:rPr>
          <w:szCs w:val="20"/>
          <w:lang w:val="en-GB" w:bidi="he-IL"/>
        </w:rPr>
        <w:t xml:space="preserve">transmission </w:t>
      </w:r>
      <w:r w:rsidR="0041058F">
        <w:rPr>
          <w:rFonts w:hint="eastAsia"/>
          <w:szCs w:val="20"/>
          <w:lang w:val="en-GB" w:bidi="he-IL"/>
        </w:rPr>
        <w:t>project group are as follows.</w:t>
      </w:r>
      <w:r w:rsidR="002E6F14">
        <w:rPr>
          <w:rFonts w:hint="eastAsia"/>
          <w:szCs w:val="20"/>
          <w:lang w:val="en-GB" w:bidi="he-IL"/>
        </w:rPr>
        <w:t xml:space="preserve"> </w:t>
      </w:r>
    </w:p>
    <w:p w:rsidR="0041058F" w:rsidRPr="0041058F" w:rsidRDefault="0041058F" w:rsidP="000F1E04">
      <w:pPr>
        <w:pStyle w:val="t"/>
        <w:jc w:val="center"/>
        <w:rPr>
          <w:szCs w:val="20"/>
          <w:lang w:val="en-GB" w:bidi="he-IL"/>
        </w:rPr>
      </w:pPr>
      <w:r w:rsidRPr="004B647E">
        <w:rPr>
          <w:rFonts w:hint="eastAsia"/>
          <w:b/>
          <w:szCs w:val="20"/>
          <w:lang w:val="en-GB" w:bidi="he-IL"/>
        </w:rPr>
        <w:t xml:space="preserve">Table </w:t>
      </w:r>
      <w:proofErr w:type="gramStart"/>
      <w:r w:rsidR="00552336">
        <w:rPr>
          <w:rFonts w:hint="eastAsia"/>
          <w:b/>
          <w:szCs w:val="20"/>
          <w:lang w:val="en-GB" w:bidi="he-IL"/>
        </w:rPr>
        <w:t xml:space="preserve">3 </w:t>
      </w:r>
      <w:r w:rsidRPr="004B647E">
        <w:rPr>
          <w:rFonts w:hint="eastAsia"/>
          <w:b/>
          <w:szCs w:val="20"/>
          <w:lang w:val="en-GB" w:bidi="he-IL"/>
        </w:rPr>
        <w:t xml:space="preserve"> </w:t>
      </w:r>
      <w:r w:rsidR="002E6F14">
        <w:rPr>
          <w:rFonts w:hint="eastAsia"/>
          <w:b/>
          <w:szCs w:val="20"/>
          <w:lang w:val="en-GB" w:bidi="he-IL"/>
        </w:rPr>
        <w:t>Corresponding</w:t>
      </w:r>
      <w:proofErr w:type="gramEnd"/>
      <w:r w:rsidR="002E6F14">
        <w:rPr>
          <w:rFonts w:hint="eastAsia"/>
          <w:b/>
          <w:szCs w:val="20"/>
          <w:lang w:val="en-GB" w:bidi="he-IL"/>
        </w:rPr>
        <w:t xml:space="preserve"> Distribution Compa</w:t>
      </w:r>
      <w:r w:rsidR="009C2361">
        <w:rPr>
          <w:rFonts w:hint="eastAsia"/>
          <w:b/>
          <w:szCs w:val="20"/>
          <w:lang w:val="en-GB" w:bidi="he-IL"/>
        </w:rPr>
        <w:t>nies</w:t>
      </w:r>
      <w:r w:rsidR="002E6F14">
        <w:rPr>
          <w:rFonts w:hint="eastAsia"/>
          <w:b/>
          <w:szCs w:val="20"/>
          <w:lang w:val="en-GB" w:bidi="he-IL"/>
        </w:rPr>
        <w:t xml:space="preserve"> of</w:t>
      </w:r>
      <w:r w:rsidRPr="004B647E">
        <w:rPr>
          <w:b/>
          <w:szCs w:val="20"/>
          <w:lang w:val="en-GB" w:bidi="he-IL"/>
        </w:rPr>
        <w:t xml:space="preserve"> </w:t>
      </w:r>
      <w:r>
        <w:rPr>
          <w:rFonts w:hint="eastAsia"/>
          <w:b/>
          <w:szCs w:val="20"/>
          <w:lang w:val="en-GB" w:bidi="he-IL"/>
        </w:rPr>
        <w:t>Project Groups</w:t>
      </w:r>
    </w:p>
    <w:tbl>
      <w:tblPr>
        <w:tblStyle w:val="TableGrid"/>
        <w:tblW w:w="0" w:type="auto"/>
        <w:jc w:val="center"/>
        <w:tblInd w:w="-582" w:type="dxa"/>
        <w:tblLook w:val="04A0"/>
      </w:tblPr>
      <w:tblGrid>
        <w:gridCol w:w="1770"/>
        <w:gridCol w:w="2900"/>
      </w:tblGrid>
      <w:tr w:rsidR="0041058F" w:rsidRPr="000F1E04" w:rsidTr="000F1E04">
        <w:trPr>
          <w:trHeight w:val="270"/>
          <w:jc w:val="center"/>
        </w:trPr>
        <w:tc>
          <w:tcPr>
            <w:tcW w:w="1770" w:type="dxa"/>
            <w:tcBorders>
              <w:bottom w:val="single" w:sz="4" w:space="0" w:color="auto"/>
            </w:tcBorders>
            <w:noWrap/>
            <w:vAlign w:val="center"/>
            <w:hideMark/>
          </w:tcPr>
          <w:p w:rsidR="0041058F" w:rsidRPr="000F1E04" w:rsidRDefault="0041058F" w:rsidP="000F1E04">
            <w:pPr>
              <w:pStyle w:val="t"/>
              <w:spacing w:before="40" w:after="40"/>
              <w:rPr>
                <w:b/>
                <w:szCs w:val="20"/>
                <w:lang w:bidi="he-IL"/>
              </w:rPr>
            </w:pPr>
            <w:r w:rsidRPr="000F1E04">
              <w:rPr>
                <w:rFonts w:hint="eastAsia"/>
                <w:b/>
                <w:szCs w:val="20"/>
                <w:lang w:bidi="he-IL"/>
              </w:rPr>
              <w:t>Group</w:t>
            </w:r>
          </w:p>
        </w:tc>
        <w:tc>
          <w:tcPr>
            <w:tcW w:w="2900" w:type="dxa"/>
            <w:tcBorders>
              <w:bottom w:val="single" w:sz="4" w:space="0" w:color="auto"/>
            </w:tcBorders>
            <w:noWrap/>
            <w:vAlign w:val="center"/>
            <w:hideMark/>
          </w:tcPr>
          <w:p w:rsidR="0041058F" w:rsidRPr="000F1E04" w:rsidRDefault="0041058F" w:rsidP="000F1E04">
            <w:pPr>
              <w:pStyle w:val="t"/>
              <w:spacing w:before="40" w:after="40"/>
              <w:rPr>
                <w:b/>
                <w:szCs w:val="20"/>
                <w:lang w:bidi="he-IL"/>
              </w:rPr>
            </w:pPr>
            <w:r w:rsidRPr="000F1E04">
              <w:rPr>
                <w:rFonts w:hint="eastAsia"/>
                <w:b/>
                <w:szCs w:val="20"/>
                <w:lang w:bidi="he-IL"/>
              </w:rPr>
              <w:t>Distribution Company</w:t>
            </w:r>
          </w:p>
        </w:tc>
      </w:tr>
      <w:tr w:rsidR="0041058F" w:rsidRPr="004B647E" w:rsidTr="000F1E04">
        <w:trPr>
          <w:trHeight w:val="270"/>
          <w:jc w:val="center"/>
        </w:trPr>
        <w:tc>
          <w:tcPr>
            <w:tcW w:w="1770" w:type="dxa"/>
            <w:tcBorders>
              <w:bottom w:val="nil"/>
            </w:tcBorders>
            <w:noWrap/>
            <w:vAlign w:val="center"/>
            <w:hideMark/>
          </w:tcPr>
          <w:p w:rsidR="0041058F" w:rsidRPr="004B647E" w:rsidRDefault="0041058F" w:rsidP="000F1E04">
            <w:pPr>
              <w:pStyle w:val="t"/>
              <w:spacing w:before="40" w:after="40"/>
              <w:rPr>
                <w:szCs w:val="20"/>
                <w:lang w:bidi="he-IL"/>
              </w:rPr>
            </w:pPr>
            <w:r w:rsidRPr="004B647E">
              <w:rPr>
                <w:rFonts w:hint="eastAsia"/>
                <w:szCs w:val="20"/>
                <w:lang w:bidi="he-IL"/>
              </w:rPr>
              <w:t>Group-1</w:t>
            </w:r>
          </w:p>
        </w:tc>
        <w:tc>
          <w:tcPr>
            <w:tcW w:w="2900" w:type="dxa"/>
            <w:tcBorders>
              <w:bottom w:val="nil"/>
            </w:tcBorders>
            <w:noWrap/>
            <w:vAlign w:val="center"/>
          </w:tcPr>
          <w:p w:rsidR="0041058F" w:rsidRPr="004B647E" w:rsidRDefault="0041058F" w:rsidP="000F1E04">
            <w:pPr>
              <w:pStyle w:val="t"/>
              <w:spacing w:before="40" w:after="40"/>
              <w:rPr>
                <w:szCs w:val="20"/>
                <w:lang w:bidi="he-IL"/>
              </w:rPr>
            </w:pPr>
            <w:r>
              <w:rPr>
                <w:rFonts w:hint="eastAsia"/>
                <w:szCs w:val="20"/>
                <w:lang w:val="en-GB" w:bidi="he-IL"/>
              </w:rPr>
              <w:t>Kaduna, Kano</w:t>
            </w:r>
          </w:p>
        </w:tc>
      </w:tr>
      <w:tr w:rsidR="0041058F" w:rsidRPr="004B647E" w:rsidTr="000F1E04">
        <w:trPr>
          <w:trHeight w:val="270"/>
          <w:jc w:val="center"/>
        </w:trPr>
        <w:tc>
          <w:tcPr>
            <w:tcW w:w="1770" w:type="dxa"/>
            <w:tcBorders>
              <w:top w:val="nil"/>
              <w:bottom w:val="nil"/>
            </w:tcBorders>
            <w:noWrap/>
            <w:vAlign w:val="center"/>
            <w:hideMark/>
          </w:tcPr>
          <w:p w:rsidR="0041058F" w:rsidRPr="004B647E" w:rsidRDefault="0041058F" w:rsidP="000F1E04">
            <w:pPr>
              <w:pStyle w:val="t"/>
              <w:spacing w:before="40" w:after="40"/>
              <w:rPr>
                <w:szCs w:val="20"/>
                <w:lang w:bidi="he-IL"/>
              </w:rPr>
            </w:pPr>
            <w:r w:rsidRPr="004B647E">
              <w:rPr>
                <w:rFonts w:hint="eastAsia"/>
                <w:szCs w:val="20"/>
                <w:lang w:bidi="he-IL"/>
              </w:rPr>
              <w:t>Group-2</w:t>
            </w:r>
          </w:p>
        </w:tc>
        <w:tc>
          <w:tcPr>
            <w:tcW w:w="2900" w:type="dxa"/>
            <w:tcBorders>
              <w:top w:val="nil"/>
              <w:bottom w:val="nil"/>
            </w:tcBorders>
            <w:noWrap/>
            <w:vAlign w:val="center"/>
          </w:tcPr>
          <w:p w:rsidR="0041058F" w:rsidRPr="004B647E" w:rsidRDefault="0041058F" w:rsidP="000F1E04">
            <w:pPr>
              <w:pStyle w:val="t"/>
              <w:spacing w:before="40" w:after="40"/>
              <w:rPr>
                <w:szCs w:val="20"/>
                <w:lang w:bidi="he-IL"/>
              </w:rPr>
            </w:pPr>
            <w:proofErr w:type="spellStart"/>
            <w:r>
              <w:rPr>
                <w:rFonts w:hint="eastAsia"/>
                <w:szCs w:val="20"/>
                <w:lang w:val="en-GB" w:bidi="he-IL"/>
              </w:rPr>
              <w:t>Eko</w:t>
            </w:r>
            <w:proofErr w:type="spellEnd"/>
            <w:r>
              <w:rPr>
                <w:rFonts w:hint="eastAsia"/>
                <w:szCs w:val="20"/>
                <w:lang w:val="en-GB" w:bidi="he-IL"/>
              </w:rPr>
              <w:t xml:space="preserve">, Ibadan, </w:t>
            </w:r>
            <w:proofErr w:type="spellStart"/>
            <w:r>
              <w:rPr>
                <w:rFonts w:hint="eastAsia"/>
                <w:szCs w:val="20"/>
                <w:lang w:val="en-GB" w:bidi="he-IL"/>
              </w:rPr>
              <w:t>Ikeja</w:t>
            </w:r>
            <w:proofErr w:type="spellEnd"/>
          </w:p>
        </w:tc>
      </w:tr>
      <w:tr w:rsidR="0041058F" w:rsidRPr="004B647E" w:rsidTr="000F1E04">
        <w:trPr>
          <w:trHeight w:val="270"/>
          <w:jc w:val="center"/>
        </w:trPr>
        <w:tc>
          <w:tcPr>
            <w:tcW w:w="1770" w:type="dxa"/>
            <w:tcBorders>
              <w:top w:val="nil"/>
              <w:bottom w:val="nil"/>
            </w:tcBorders>
            <w:noWrap/>
            <w:vAlign w:val="center"/>
            <w:hideMark/>
          </w:tcPr>
          <w:p w:rsidR="0041058F" w:rsidRPr="004B647E" w:rsidRDefault="0041058F" w:rsidP="000F1E04">
            <w:pPr>
              <w:pStyle w:val="t"/>
              <w:spacing w:before="40" w:after="40"/>
              <w:rPr>
                <w:szCs w:val="20"/>
                <w:lang w:bidi="he-IL"/>
              </w:rPr>
            </w:pPr>
            <w:r w:rsidRPr="004B647E">
              <w:rPr>
                <w:rFonts w:hint="eastAsia"/>
                <w:szCs w:val="20"/>
                <w:lang w:bidi="he-IL"/>
              </w:rPr>
              <w:t>Group-3</w:t>
            </w:r>
          </w:p>
        </w:tc>
        <w:tc>
          <w:tcPr>
            <w:tcW w:w="2900" w:type="dxa"/>
            <w:tcBorders>
              <w:top w:val="nil"/>
              <w:bottom w:val="nil"/>
            </w:tcBorders>
            <w:noWrap/>
            <w:vAlign w:val="center"/>
          </w:tcPr>
          <w:p w:rsidR="0041058F" w:rsidRPr="004B647E" w:rsidRDefault="0041058F" w:rsidP="000F1E04">
            <w:pPr>
              <w:pStyle w:val="t"/>
              <w:spacing w:before="40" w:after="40"/>
              <w:rPr>
                <w:szCs w:val="20"/>
                <w:lang w:bidi="he-IL"/>
              </w:rPr>
            </w:pPr>
            <w:proofErr w:type="spellStart"/>
            <w:r>
              <w:rPr>
                <w:rFonts w:hint="eastAsia"/>
                <w:szCs w:val="20"/>
                <w:lang w:val="en-GB" w:bidi="he-IL"/>
              </w:rPr>
              <w:t>Jos</w:t>
            </w:r>
            <w:proofErr w:type="spellEnd"/>
            <w:r>
              <w:rPr>
                <w:rFonts w:hint="eastAsia"/>
                <w:szCs w:val="20"/>
                <w:lang w:val="en-GB" w:bidi="he-IL"/>
              </w:rPr>
              <w:t xml:space="preserve">, </w:t>
            </w:r>
            <w:proofErr w:type="spellStart"/>
            <w:r>
              <w:rPr>
                <w:rFonts w:hint="eastAsia"/>
                <w:szCs w:val="20"/>
                <w:lang w:val="en-GB" w:bidi="he-IL"/>
              </w:rPr>
              <w:t>Yola</w:t>
            </w:r>
            <w:proofErr w:type="spellEnd"/>
          </w:p>
        </w:tc>
      </w:tr>
      <w:tr w:rsidR="0041058F" w:rsidRPr="004B647E" w:rsidTr="000F1E04">
        <w:trPr>
          <w:trHeight w:val="270"/>
          <w:jc w:val="center"/>
        </w:trPr>
        <w:tc>
          <w:tcPr>
            <w:tcW w:w="1770" w:type="dxa"/>
            <w:tcBorders>
              <w:top w:val="nil"/>
              <w:bottom w:val="nil"/>
            </w:tcBorders>
            <w:noWrap/>
            <w:vAlign w:val="center"/>
            <w:hideMark/>
          </w:tcPr>
          <w:p w:rsidR="0041058F" w:rsidRPr="004B647E" w:rsidRDefault="0041058F" w:rsidP="000F1E04">
            <w:pPr>
              <w:pStyle w:val="t"/>
              <w:spacing w:before="40" w:after="40"/>
              <w:rPr>
                <w:szCs w:val="20"/>
                <w:lang w:bidi="he-IL"/>
              </w:rPr>
            </w:pPr>
            <w:r w:rsidRPr="004B647E">
              <w:rPr>
                <w:rFonts w:hint="eastAsia"/>
                <w:szCs w:val="20"/>
                <w:lang w:bidi="he-IL"/>
              </w:rPr>
              <w:t>Group-4</w:t>
            </w:r>
          </w:p>
        </w:tc>
        <w:tc>
          <w:tcPr>
            <w:tcW w:w="2900" w:type="dxa"/>
            <w:tcBorders>
              <w:top w:val="nil"/>
              <w:bottom w:val="nil"/>
            </w:tcBorders>
            <w:noWrap/>
            <w:vAlign w:val="center"/>
          </w:tcPr>
          <w:p w:rsidR="0041058F" w:rsidRPr="004B647E" w:rsidRDefault="0041058F" w:rsidP="000F1E04">
            <w:pPr>
              <w:pStyle w:val="t"/>
              <w:spacing w:before="40" w:after="40"/>
              <w:rPr>
                <w:szCs w:val="20"/>
                <w:lang w:bidi="he-IL"/>
              </w:rPr>
            </w:pPr>
            <w:r>
              <w:rPr>
                <w:rFonts w:hint="eastAsia"/>
                <w:szCs w:val="20"/>
                <w:lang w:val="en-GB" w:bidi="he-IL"/>
              </w:rPr>
              <w:t>Benin, Enugu</w:t>
            </w:r>
          </w:p>
        </w:tc>
      </w:tr>
      <w:tr w:rsidR="0041058F" w:rsidRPr="004B647E" w:rsidTr="000F1E04">
        <w:trPr>
          <w:trHeight w:val="285"/>
          <w:jc w:val="center"/>
        </w:trPr>
        <w:tc>
          <w:tcPr>
            <w:tcW w:w="1770" w:type="dxa"/>
            <w:tcBorders>
              <w:top w:val="nil"/>
              <w:bottom w:val="single" w:sz="4" w:space="0" w:color="auto"/>
            </w:tcBorders>
            <w:noWrap/>
            <w:vAlign w:val="center"/>
            <w:hideMark/>
          </w:tcPr>
          <w:p w:rsidR="0041058F" w:rsidRPr="004B647E" w:rsidRDefault="0041058F" w:rsidP="000F1E04">
            <w:pPr>
              <w:pStyle w:val="t"/>
              <w:spacing w:before="40" w:after="40"/>
              <w:rPr>
                <w:szCs w:val="20"/>
                <w:lang w:bidi="he-IL"/>
              </w:rPr>
            </w:pPr>
            <w:r w:rsidRPr="004B647E">
              <w:rPr>
                <w:rFonts w:hint="eastAsia"/>
                <w:szCs w:val="20"/>
                <w:lang w:bidi="he-IL"/>
              </w:rPr>
              <w:t>Group-5</w:t>
            </w:r>
          </w:p>
        </w:tc>
        <w:tc>
          <w:tcPr>
            <w:tcW w:w="2900" w:type="dxa"/>
            <w:tcBorders>
              <w:top w:val="nil"/>
              <w:bottom w:val="single" w:sz="4" w:space="0" w:color="auto"/>
            </w:tcBorders>
            <w:noWrap/>
            <w:vAlign w:val="center"/>
          </w:tcPr>
          <w:p w:rsidR="0041058F" w:rsidRPr="004B647E" w:rsidRDefault="0041058F" w:rsidP="000F1E04">
            <w:pPr>
              <w:pStyle w:val="t"/>
              <w:spacing w:before="40" w:after="40"/>
              <w:rPr>
                <w:szCs w:val="20"/>
                <w:lang w:bidi="he-IL"/>
              </w:rPr>
            </w:pPr>
            <w:r>
              <w:rPr>
                <w:rFonts w:hint="eastAsia"/>
                <w:szCs w:val="20"/>
                <w:lang w:val="en-GB" w:bidi="he-IL"/>
              </w:rPr>
              <w:t>Abuja, Benin</w:t>
            </w:r>
          </w:p>
        </w:tc>
      </w:tr>
    </w:tbl>
    <w:p w:rsidR="00041870" w:rsidRDefault="00041870" w:rsidP="001C7E0B">
      <w:pPr>
        <w:pStyle w:val="t"/>
        <w:rPr>
          <w:szCs w:val="20"/>
          <w:lang w:val="en-GB" w:bidi="he-IL"/>
        </w:rPr>
      </w:pPr>
    </w:p>
    <w:p w:rsidR="00CE2894" w:rsidRDefault="00CE2894" w:rsidP="001C7E0B">
      <w:pPr>
        <w:pStyle w:val="t"/>
        <w:rPr>
          <w:szCs w:val="20"/>
          <w:lang w:val="en-GB" w:bidi="he-IL"/>
        </w:rPr>
      </w:pPr>
      <w:r>
        <w:rPr>
          <w:rFonts w:hint="eastAsia"/>
          <w:szCs w:val="20"/>
          <w:lang w:val="en-GB" w:bidi="he-IL"/>
        </w:rPr>
        <w:t>MYTO II was referred to calculate the tariffs of each distribution company</w:t>
      </w:r>
      <w:r w:rsidR="00397EF8">
        <w:rPr>
          <w:rFonts w:hint="eastAsia"/>
          <w:szCs w:val="20"/>
          <w:lang w:val="en-GB" w:bidi="he-IL"/>
        </w:rPr>
        <w:t xml:space="preserve">, though it only settles the tariffs for up to 2016. The future tariffs from 2017 to 2046 were estimated under the assumption that the tariff rises annually by the average increasing rate of the tariffs from 2012 to 2016. </w:t>
      </w:r>
      <w:r>
        <w:rPr>
          <w:rFonts w:hint="eastAsia"/>
          <w:szCs w:val="20"/>
          <w:lang w:val="en-GB" w:bidi="he-IL"/>
        </w:rPr>
        <w:t xml:space="preserve"> Tariffs of distribution companies are varied by 14 categories of customer types. Future </w:t>
      </w:r>
      <w:r w:rsidR="002922E7">
        <w:rPr>
          <w:rFonts w:hint="eastAsia"/>
          <w:szCs w:val="20"/>
          <w:lang w:val="en-GB" w:bidi="he-IL"/>
        </w:rPr>
        <w:t xml:space="preserve">electricity </w:t>
      </w:r>
      <w:r>
        <w:rPr>
          <w:rFonts w:hint="eastAsia"/>
          <w:szCs w:val="20"/>
          <w:lang w:val="en-GB" w:bidi="he-IL"/>
        </w:rPr>
        <w:t xml:space="preserve">consumption and customer populations </w:t>
      </w:r>
      <w:r w:rsidR="00502E4F">
        <w:rPr>
          <w:rFonts w:hint="eastAsia"/>
          <w:szCs w:val="20"/>
          <w:lang w:val="en-GB" w:bidi="he-IL"/>
        </w:rPr>
        <w:t>by</w:t>
      </w:r>
      <w:r>
        <w:rPr>
          <w:rFonts w:hint="eastAsia"/>
          <w:szCs w:val="20"/>
          <w:lang w:val="en-GB" w:bidi="he-IL"/>
        </w:rPr>
        <w:t xml:space="preserve"> each category are estimated by the current values obtained from </w:t>
      </w:r>
      <w:r w:rsidR="00502E4F">
        <w:rPr>
          <w:rFonts w:hint="eastAsia"/>
          <w:szCs w:val="20"/>
          <w:lang w:val="en-GB" w:bidi="he-IL"/>
        </w:rPr>
        <w:t xml:space="preserve">the final report of </w:t>
      </w:r>
      <w:r>
        <w:rPr>
          <w:szCs w:val="20"/>
          <w:lang w:val="en-GB" w:bidi="he-IL"/>
        </w:rPr>
        <w:t>“</w:t>
      </w:r>
      <w:r w:rsidR="00502E4F">
        <w:rPr>
          <w:rFonts w:hint="eastAsia"/>
          <w:szCs w:val="20"/>
          <w:lang w:val="en-GB" w:bidi="he-IL"/>
        </w:rPr>
        <w:t>N</w:t>
      </w:r>
      <w:r w:rsidRPr="00CE2894">
        <w:rPr>
          <w:szCs w:val="20"/>
          <w:lang w:val="en-GB" w:bidi="he-IL"/>
        </w:rPr>
        <w:t>ational Load Demand Study</w:t>
      </w:r>
      <w:r>
        <w:rPr>
          <w:rFonts w:hint="eastAsia"/>
          <w:szCs w:val="20"/>
          <w:lang w:val="en-GB" w:bidi="he-IL"/>
        </w:rPr>
        <w:t xml:space="preserve"> </w:t>
      </w:r>
      <w:r w:rsidR="00502E4F">
        <w:rPr>
          <w:rFonts w:hint="eastAsia"/>
          <w:szCs w:val="20"/>
          <w:lang w:val="en-GB" w:bidi="he-IL"/>
        </w:rPr>
        <w:t>(2009)</w:t>
      </w:r>
      <w:r>
        <w:rPr>
          <w:szCs w:val="20"/>
          <w:lang w:val="en-GB" w:bidi="he-IL"/>
        </w:rPr>
        <w:t>”</w:t>
      </w:r>
      <w:r>
        <w:rPr>
          <w:rFonts w:hint="eastAsia"/>
          <w:szCs w:val="20"/>
          <w:lang w:val="en-GB" w:bidi="he-IL"/>
        </w:rPr>
        <w:t xml:space="preserve"> conducted by the Power Holding Company of Nigeria</w:t>
      </w:r>
      <w:r w:rsidR="00316CB0">
        <w:rPr>
          <w:rFonts w:hint="eastAsia"/>
          <w:szCs w:val="20"/>
          <w:lang w:val="en-GB" w:bidi="he-IL"/>
        </w:rPr>
        <w:t xml:space="preserve"> (PHCN)</w:t>
      </w:r>
      <w:r>
        <w:rPr>
          <w:rFonts w:hint="eastAsia"/>
          <w:szCs w:val="20"/>
          <w:lang w:val="en-GB" w:bidi="he-IL"/>
        </w:rPr>
        <w:t>.</w:t>
      </w:r>
      <w:r w:rsidR="00502E4F">
        <w:rPr>
          <w:rFonts w:hint="eastAsia"/>
          <w:szCs w:val="20"/>
          <w:lang w:val="en-GB" w:bidi="he-IL"/>
        </w:rPr>
        <w:t xml:space="preserve"> </w:t>
      </w:r>
    </w:p>
    <w:p w:rsidR="00824C3F" w:rsidRDefault="00502E4F" w:rsidP="000F1E04">
      <w:pPr>
        <w:pStyle w:val="Heading3"/>
      </w:pPr>
      <w:bookmarkStart w:id="5" w:name="_Toc381199841"/>
      <w:r>
        <w:rPr>
          <w:rFonts w:hint="eastAsia"/>
        </w:rPr>
        <w:t>Self-Generation Cost</w:t>
      </w:r>
      <w:bookmarkEnd w:id="5"/>
    </w:p>
    <w:p w:rsidR="00502E4F" w:rsidRDefault="00717261" w:rsidP="001C7E0B">
      <w:pPr>
        <w:pStyle w:val="t"/>
        <w:rPr>
          <w:szCs w:val="20"/>
          <w:lang w:val="en-GB" w:bidi="he-IL"/>
        </w:rPr>
      </w:pPr>
      <w:r>
        <w:rPr>
          <w:rFonts w:hint="eastAsia"/>
          <w:szCs w:val="20"/>
          <w:lang w:val="en-GB" w:bidi="he-IL"/>
        </w:rPr>
        <w:t>The fuels such as diesel and petrol to operate the generators are to be the cost for the self-generation. N60/kWh</w:t>
      </w:r>
      <w:r w:rsidR="00FC58FA">
        <w:rPr>
          <w:rFonts w:hint="eastAsia"/>
          <w:szCs w:val="20"/>
          <w:lang w:val="en-GB" w:bidi="he-IL"/>
        </w:rPr>
        <w:t xml:space="preserve"> which is</w:t>
      </w:r>
      <w:r>
        <w:rPr>
          <w:rFonts w:hint="eastAsia"/>
          <w:szCs w:val="20"/>
          <w:lang w:val="en-GB" w:bidi="he-IL"/>
        </w:rPr>
        <w:t xml:space="preserve"> indicated in the </w:t>
      </w:r>
      <w:r>
        <w:rPr>
          <w:szCs w:val="20"/>
          <w:lang w:val="en-GB" w:bidi="he-IL"/>
        </w:rPr>
        <w:t>“</w:t>
      </w:r>
      <w:r>
        <w:rPr>
          <w:rFonts w:hint="eastAsia"/>
          <w:szCs w:val="20"/>
          <w:lang w:val="en-GB" w:bidi="he-IL"/>
        </w:rPr>
        <w:t xml:space="preserve">Roadmap for </w:t>
      </w:r>
      <w:r>
        <w:rPr>
          <w:szCs w:val="20"/>
          <w:lang w:val="en-GB" w:bidi="he-IL"/>
        </w:rPr>
        <w:t>Power Sector Reform</w:t>
      </w:r>
      <w:r>
        <w:rPr>
          <w:rFonts w:hint="eastAsia"/>
          <w:szCs w:val="20"/>
          <w:lang w:val="en-GB" w:bidi="he-IL"/>
        </w:rPr>
        <w:t xml:space="preserve"> (2010)</w:t>
      </w:r>
      <w:r>
        <w:rPr>
          <w:szCs w:val="20"/>
          <w:lang w:val="en-GB" w:bidi="he-IL"/>
        </w:rPr>
        <w:t>”</w:t>
      </w:r>
      <w:r>
        <w:rPr>
          <w:rFonts w:hint="eastAsia"/>
          <w:szCs w:val="20"/>
          <w:lang w:val="en-GB" w:bidi="he-IL"/>
        </w:rPr>
        <w:t xml:space="preserve"> </w:t>
      </w:r>
      <w:r w:rsidR="00B47C71">
        <w:rPr>
          <w:rFonts w:hint="eastAsia"/>
          <w:szCs w:val="20"/>
          <w:lang w:val="en-GB" w:bidi="he-IL"/>
        </w:rPr>
        <w:t>prepared</w:t>
      </w:r>
      <w:r w:rsidR="00FC58FA">
        <w:rPr>
          <w:rFonts w:hint="eastAsia"/>
          <w:szCs w:val="20"/>
          <w:lang w:val="en-GB" w:bidi="he-IL"/>
        </w:rPr>
        <w:t xml:space="preserve"> </w:t>
      </w:r>
      <w:r>
        <w:rPr>
          <w:rFonts w:hint="eastAsia"/>
          <w:szCs w:val="20"/>
          <w:lang w:val="en-GB" w:bidi="he-IL"/>
        </w:rPr>
        <w:t xml:space="preserve">by Nigerian Government was adopted in this study. </w:t>
      </w:r>
    </w:p>
    <w:p w:rsidR="00B04D7D" w:rsidRPr="00824C3F" w:rsidRDefault="00B04D7D" w:rsidP="000F1E04">
      <w:pPr>
        <w:pStyle w:val="Heading2"/>
      </w:pPr>
      <w:bookmarkStart w:id="6" w:name="_Toc381199842"/>
      <w:r>
        <w:rPr>
          <w:rFonts w:hint="eastAsia"/>
        </w:rPr>
        <w:lastRenderedPageBreak/>
        <w:t xml:space="preserve">Economic Benefit of </w:t>
      </w:r>
      <w:r w:rsidR="000645A6">
        <w:t>“</w:t>
      </w:r>
      <w:r>
        <w:rPr>
          <w:rFonts w:hint="eastAsia"/>
        </w:rPr>
        <w:t>With</w:t>
      </w:r>
      <w:r w:rsidR="00CD637F">
        <w:rPr>
          <w:rFonts w:hint="eastAsia"/>
        </w:rPr>
        <w:t>out</w:t>
      </w:r>
      <w:r>
        <w:rPr>
          <w:rFonts w:hint="eastAsia"/>
        </w:rPr>
        <w:t xml:space="preserve"> </w:t>
      </w:r>
      <w:r w:rsidR="00CD637F">
        <w:rPr>
          <w:rFonts w:hint="eastAsia"/>
        </w:rPr>
        <w:t>Case</w:t>
      </w:r>
      <w:r w:rsidR="000645A6">
        <w:t>”</w:t>
      </w:r>
      <w:bookmarkEnd w:id="6"/>
      <w:r>
        <w:rPr>
          <w:rFonts w:hint="eastAsia"/>
        </w:rPr>
        <w:t xml:space="preserve"> </w:t>
      </w:r>
    </w:p>
    <w:p w:rsidR="00B04D7D" w:rsidRDefault="00AD03EA" w:rsidP="000F1E04">
      <w:pPr>
        <w:pStyle w:val="Heading3"/>
        <w:rPr>
          <w:lang w:val="en-GB" w:bidi="he-IL"/>
        </w:rPr>
      </w:pPr>
      <w:bookmarkStart w:id="7" w:name="_Toc381199843"/>
      <w:r>
        <w:rPr>
          <w:rFonts w:hint="eastAsia"/>
          <w:lang w:val="en-GB" w:bidi="he-IL"/>
        </w:rPr>
        <w:t>Occupied Areas for Projects</w:t>
      </w:r>
      <w:bookmarkEnd w:id="7"/>
    </w:p>
    <w:p w:rsidR="00AD03EA" w:rsidRDefault="00AD03EA" w:rsidP="001C7E0B">
      <w:pPr>
        <w:pStyle w:val="t"/>
        <w:rPr>
          <w:szCs w:val="20"/>
          <w:lang w:val="en-GB" w:bidi="he-IL"/>
        </w:rPr>
      </w:pPr>
      <w:r>
        <w:rPr>
          <w:rFonts w:hint="eastAsia"/>
          <w:szCs w:val="20"/>
          <w:lang w:val="en-GB" w:bidi="he-IL"/>
        </w:rPr>
        <w:t>At least 50m</w:t>
      </w:r>
      <w:r w:rsidR="00556697">
        <w:rPr>
          <w:rFonts w:hint="eastAsia"/>
          <w:szCs w:val="20"/>
          <w:lang w:val="en-GB" w:bidi="he-IL"/>
        </w:rPr>
        <w:t xml:space="preserve"> width</w:t>
      </w:r>
      <w:r w:rsidR="00B3470D">
        <w:rPr>
          <w:rFonts w:hint="eastAsia"/>
          <w:szCs w:val="20"/>
          <w:lang w:val="en-GB" w:bidi="he-IL"/>
        </w:rPr>
        <w:t xml:space="preserve"> of </w:t>
      </w:r>
      <w:r w:rsidR="00556697">
        <w:rPr>
          <w:rFonts w:hint="eastAsia"/>
          <w:szCs w:val="20"/>
          <w:lang w:val="en-GB" w:bidi="he-IL"/>
        </w:rPr>
        <w:t>lands</w:t>
      </w:r>
      <w:r>
        <w:rPr>
          <w:rFonts w:hint="eastAsia"/>
          <w:szCs w:val="20"/>
          <w:lang w:val="en-GB" w:bidi="he-IL"/>
        </w:rPr>
        <w:t xml:space="preserve"> </w:t>
      </w:r>
      <w:r w:rsidR="00B3470D">
        <w:rPr>
          <w:rFonts w:hint="eastAsia"/>
          <w:szCs w:val="20"/>
          <w:lang w:val="en-GB" w:bidi="he-IL"/>
        </w:rPr>
        <w:t>along</w:t>
      </w:r>
      <w:r>
        <w:rPr>
          <w:rFonts w:hint="eastAsia"/>
          <w:szCs w:val="20"/>
          <w:lang w:val="en-GB" w:bidi="he-IL"/>
        </w:rPr>
        <w:t xml:space="preserve"> the transmission lines should be seized for the exclusive use of the </w:t>
      </w:r>
      <w:r w:rsidR="00556697">
        <w:rPr>
          <w:rFonts w:hint="eastAsia"/>
          <w:szCs w:val="20"/>
          <w:lang w:val="en-GB" w:bidi="he-IL"/>
        </w:rPr>
        <w:t>projects</w:t>
      </w:r>
      <w:r>
        <w:rPr>
          <w:rFonts w:hint="eastAsia"/>
          <w:szCs w:val="20"/>
          <w:lang w:val="en-GB" w:bidi="he-IL"/>
        </w:rPr>
        <w:t xml:space="preserve">. Areas </w:t>
      </w:r>
      <w:r w:rsidR="00B3470D">
        <w:rPr>
          <w:rFonts w:hint="eastAsia"/>
          <w:szCs w:val="20"/>
          <w:lang w:val="en-GB" w:bidi="he-IL"/>
        </w:rPr>
        <w:t xml:space="preserve">to be </w:t>
      </w:r>
      <w:r>
        <w:rPr>
          <w:rFonts w:hint="eastAsia"/>
          <w:szCs w:val="20"/>
          <w:lang w:val="en-GB" w:bidi="he-IL"/>
        </w:rPr>
        <w:t xml:space="preserve">occupied with planned transmission lines </w:t>
      </w:r>
      <w:r>
        <w:rPr>
          <w:szCs w:val="20"/>
          <w:lang w:val="en-GB" w:bidi="he-IL"/>
        </w:rPr>
        <w:t xml:space="preserve">in </w:t>
      </w:r>
      <w:r>
        <w:rPr>
          <w:rFonts w:hint="eastAsia"/>
          <w:szCs w:val="20"/>
          <w:lang w:val="en-GB" w:bidi="he-IL"/>
        </w:rPr>
        <w:t xml:space="preserve">each project group are roughly estimated as presented in the following table. </w:t>
      </w:r>
    </w:p>
    <w:p w:rsidR="00AD03EA" w:rsidRPr="000F1E04" w:rsidRDefault="00552336" w:rsidP="000F1E04">
      <w:pPr>
        <w:pStyle w:val="t"/>
        <w:jc w:val="center"/>
        <w:rPr>
          <w:b/>
          <w:szCs w:val="20"/>
          <w:lang w:bidi="he-IL"/>
        </w:rPr>
      </w:pPr>
      <w:r w:rsidRPr="000F1E04">
        <w:rPr>
          <w:rFonts w:hint="eastAsia"/>
          <w:b/>
          <w:szCs w:val="20"/>
          <w:lang w:val="en-GB" w:bidi="he-IL"/>
        </w:rPr>
        <w:t xml:space="preserve">Table </w:t>
      </w:r>
      <w:proofErr w:type="gramStart"/>
      <w:r w:rsidRPr="000F1E04">
        <w:rPr>
          <w:rFonts w:hint="eastAsia"/>
          <w:b/>
          <w:szCs w:val="20"/>
          <w:lang w:val="en-GB" w:bidi="he-IL"/>
        </w:rPr>
        <w:t xml:space="preserve">4 </w:t>
      </w:r>
      <w:r w:rsidR="00AD03EA" w:rsidRPr="000F1E04">
        <w:rPr>
          <w:rFonts w:hint="eastAsia"/>
          <w:b/>
          <w:szCs w:val="20"/>
          <w:lang w:val="en-GB" w:bidi="he-IL"/>
        </w:rPr>
        <w:t xml:space="preserve"> </w:t>
      </w:r>
      <w:r w:rsidR="00AD03EA" w:rsidRPr="000F1E04">
        <w:rPr>
          <w:rFonts w:hint="eastAsia"/>
          <w:b/>
          <w:szCs w:val="20"/>
          <w:lang w:bidi="he-IL"/>
        </w:rPr>
        <w:t>Estimated</w:t>
      </w:r>
      <w:proofErr w:type="gramEnd"/>
      <w:r w:rsidR="00AD03EA" w:rsidRPr="000F1E04">
        <w:rPr>
          <w:rFonts w:hint="eastAsia"/>
          <w:b/>
          <w:szCs w:val="20"/>
          <w:lang w:bidi="he-IL"/>
        </w:rPr>
        <w:t xml:space="preserve"> Occupied Areas</w:t>
      </w:r>
      <w:r w:rsidR="000F1E04" w:rsidRPr="000F1E04">
        <w:rPr>
          <w:b/>
          <w:szCs w:val="20"/>
          <w:lang w:bidi="he-IL"/>
        </w:rPr>
        <w:t xml:space="preserve"> </w:t>
      </w:r>
      <w:r w:rsidR="00AD03EA" w:rsidRPr="000F1E04">
        <w:rPr>
          <w:rFonts w:hint="eastAsia"/>
          <w:b/>
          <w:szCs w:val="20"/>
          <w:lang w:bidi="he-IL"/>
        </w:rPr>
        <w:t>(ha)</w:t>
      </w:r>
    </w:p>
    <w:tbl>
      <w:tblPr>
        <w:tblStyle w:val="TableGrid"/>
        <w:tblW w:w="0" w:type="auto"/>
        <w:jc w:val="center"/>
        <w:tblInd w:w="-582" w:type="dxa"/>
        <w:tblLook w:val="04A0"/>
      </w:tblPr>
      <w:tblGrid>
        <w:gridCol w:w="1770"/>
        <w:gridCol w:w="2433"/>
      </w:tblGrid>
      <w:tr w:rsidR="00AD03EA" w:rsidRPr="000F1E04" w:rsidTr="000F1E04">
        <w:trPr>
          <w:trHeight w:val="270"/>
          <w:jc w:val="center"/>
        </w:trPr>
        <w:tc>
          <w:tcPr>
            <w:tcW w:w="1770" w:type="dxa"/>
            <w:tcBorders>
              <w:bottom w:val="single" w:sz="4" w:space="0" w:color="auto"/>
            </w:tcBorders>
            <w:noWrap/>
            <w:vAlign w:val="center"/>
            <w:hideMark/>
          </w:tcPr>
          <w:p w:rsidR="00AD03EA" w:rsidRPr="000F1E04" w:rsidRDefault="00AD03EA" w:rsidP="000F1E04">
            <w:pPr>
              <w:pStyle w:val="t"/>
              <w:spacing w:before="40" w:after="40"/>
              <w:rPr>
                <w:b/>
                <w:szCs w:val="20"/>
                <w:lang w:bidi="he-IL"/>
              </w:rPr>
            </w:pPr>
            <w:r w:rsidRPr="000F1E04">
              <w:rPr>
                <w:rFonts w:hint="eastAsia"/>
                <w:b/>
                <w:szCs w:val="20"/>
                <w:lang w:bidi="he-IL"/>
              </w:rPr>
              <w:t>Group</w:t>
            </w:r>
          </w:p>
        </w:tc>
        <w:tc>
          <w:tcPr>
            <w:tcW w:w="2433" w:type="dxa"/>
            <w:tcBorders>
              <w:bottom w:val="single" w:sz="4" w:space="0" w:color="auto"/>
            </w:tcBorders>
            <w:noWrap/>
            <w:vAlign w:val="center"/>
            <w:hideMark/>
          </w:tcPr>
          <w:p w:rsidR="00AD03EA" w:rsidRPr="000F1E04" w:rsidRDefault="00AD03EA" w:rsidP="000F1E04">
            <w:pPr>
              <w:pStyle w:val="t"/>
              <w:spacing w:before="40" w:after="40"/>
              <w:jc w:val="center"/>
              <w:rPr>
                <w:b/>
                <w:szCs w:val="20"/>
                <w:lang w:bidi="he-IL"/>
              </w:rPr>
            </w:pPr>
            <w:r w:rsidRPr="000F1E04">
              <w:rPr>
                <w:rFonts w:hint="eastAsia"/>
                <w:b/>
                <w:szCs w:val="20"/>
                <w:lang w:bidi="he-IL"/>
              </w:rPr>
              <w:t>Estimated Occupied Areas</w:t>
            </w:r>
          </w:p>
        </w:tc>
      </w:tr>
      <w:tr w:rsidR="00AD03EA" w:rsidRPr="004B647E" w:rsidTr="000F1E04">
        <w:trPr>
          <w:trHeight w:val="270"/>
          <w:jc w:val="center"/>
        </w:trPr>
        <w:tc>
          <w:tcPr>
            <w:tcW w:w="1770" w:type="dxa"/>
            <w:tcBorders>
              <w:bottom w:val="nil"/>
            </w:tcBorders>
            <w:noWrap/>
            <w:vAlign w:val="center"/>
            <w:hideMark/>
          </w:tcPr>
          <w:p w:rsidR="00AD03EA" w:rsidRPr="004B647E" w:rsidRDefault="00AD03EA" w:rsidP="000F1E04">
            <w:pPr>
              <w:pStyle w:val="t"/>
              <w:spacing w:before="40" w:after="40"/>
              <w:rPr>
                <w:szCs w:val="20"/>
                <w:lang w:bidi="he-IL"/>
              </w:rPr>
            </w:pPr>
            <w:r w:rsidRPr="004B647E">
              <w:rPr>
                <w:rFonts w:hint="eastAsia"/>
                <w:szCs w:val="20"/>
                <w:lang w:bidi="he-IL"/>
              </w:rPr>
              <w:t>Group-1</w:t>
            </w:r>
          </w:p>
        </w:tc>
        <w:tc>
          <w:tcPr>
            <w:tcW w:w="2433" w:type="dxa"/>
            <w:tcBorders>
              <w:bottom w:val="nil"/>
            </w:tcBorders>
            <w:noWrap/>
          </w:tcPr>
          <w:p w:rsidR="00AD03EA" w:rsidRPr="00F366ED" w:rsidRDefault="00AD03EA" w:rsidP="000F1E04">
            <w:pPr>
              <w:pStyle w:val="t"/>
              <w:spacing w:before="40" w:after="40"/>
              <w:jc w:val="center"/>
            </w:pPr>
            <w:r w:rsidRPr="00F366ED">
              <w:t>6</w:t>
            </w:r>
            <w:r w:rsidR="00A96B55">
              <w:rPr>
                <w:rFonts w:hint="eastAsia"/>
              </w:rPr>
              <w:t>,</w:t>
            </w:r>
            <w:r w:rsidRPr="00F366ED">
              <w:t>575</w:t>
            </w:r>
          </w:p>
        </w:tc>
      </w:tr>
      <w:tr w:rsidR="00AD03EA" w:rsidRPr="004B647E" w:rsidTr="000F1E04">
        <w:trPr>
          <w:trHeight w:val="270"/>
          <w:jc w:val="center"/>
        </w:trPr>
        <w:tc>
          <w:tcPr>
            <w:tcW w:w="1770" w:type="dxa"/>
            <w:tcBorders>
              <w:top w:val="nil"/>
              <w:bottom w:val="nil"/>
            </w:tcBorders>
            <w:noWrap/>
            <w:vAlign w:val="center"/>
            <w:hideMark/>
          </w:tcPr>
          <w:p w:rsidR="00AD03EA" w:rsidRPr="004B647E" w:rsidRDefault="00AD03EA" w:rsidP="000F1E04">
            <w:pPr>
              <w:pStyle w:val="t"/>
              <w:spacing w:before="40" w:after="40"/>
              <w:rPr>
                <w:szCs w:val="20"/>
                <w:lang w:bidi="he-IL"/>
              </w:rPr>
            </w:pPr>
            <w:r w:rsidRPr="004B647E">
              <w:rPr>
                <w:rFonts w:hint="eastAsia"/>
                <w:szCs w:val="20"/>
                <w:lang w:bidi="he-IL"/>
              </w:rPr>
              <w:t>Group-2</w:t>
            </w:r>
          </w:p>
        </w:tc>
        <w:tc>
          <w:tcPr>
            <w:tcW w:w="2433" w:type="dxa"/>
            <w:tcBorders>
              <w:top w:val="nil"/>
              <w:bottom w:val="nil"/>
            </w:tcBorders>
            <w:noWrap/>
          </w:tcPr>
          <w:p w:rsidR="00AD03EA" w:rsidRPr="00F366ED" w:rsidRDefault="00AD03EA" w:rsidP="000F1E04">
            <w:pPr>
              <w:pStyle w:val="t"/>
              <w:spacing w:before="40" w:after="40"/>
              <w:jc w:val="center"/>
            </w:pPr>
            <w:r w:rsidRPr="00AD03EA">
              <w:t>4</w:t>
            </w:r>
            <w:r w:rsidR="00A96B55">
              <w:rPr>
                <w:rFonts w:hint="eastAsia"/>
              </w:rPr>
              <w:t>,</w:t>
            </w:r>
            <w:r w:rsidRPr="00AD03EA">
              <w:t>240</w:t>
            </w:r>
          </w:p>
        </w:tc>
      </w:tr>
      <w:tr w:rsidR="00AD03EA" w:rsidRPr="004B647E" w:rsidTr="000F1E04">
        <w:trPr>
          <w:trHeight w:val="270"/>
          <w:jc w:val="center"/>
        </w:trPr>
        <w:tc>
          <w:tcPr>
            <w:tcW w:w="1770" w:type="dxa"/>
            <w:tcBorders>
              <w:top w:val="nil"/>
              <w:bottom w:val="nil"/>
            </w:tcBorders>
            <w:noWrap/>
            <w:vAlign w:val="center"/>
            <w:hideMark/>
          </w:tcPr>
          <w:p w:rsidR="00AD03EA" w:rsidRPr="004B647E" w:rsidRDefault="00AD03EA" w:rsidP="000F1E04">
            <w:pPr>
              <w:pStyle w:val="t"/>
              <w:spacing w:before="40" w:after="40"/>
              <w:rPr>
                <w:szCs w:val="20"/>
                <w:lang w:bidi="he-IL"/>
              </w:rPr>
            </w:pPr>
            <w:r w:rsidRPr="004B647E">
              <w:rPr>
                <w:rFonts w:hint="eastAsia"/>
                <w:szCs w:val="20"/>
                <w:lang w:bidi="he-IL"/>
              </w:rPr>
              <w:t>Group-3</w:t>
            </w:r>
          </w:p>
        </w:tc>
        <w:tc>
          <w:tcPr>
            <w:tcW w:w="2433" w:type="dxa"/>
            <w:tcBorders>
              <w:top w:val="nil"/>
              <w:bottom w:val="nil"/>
            </w:tcBorders>
            <w:noWrap/>
          </w:tcPr>
          <w:p w:rsidR="00AD03EA" w:rsidRPr="00F366ED" w:rsidRDefault="00AD03EA" w:rsidP="000F1E04">
            <w:pPr>
              <w:pStyle w:val="t"/>
              <w:spacing w:before="40" w:after="40"/>
              <w:jc w:val="center"/>
            </w:pPr>
            <w:r w:rsidRPr="00AD03EA">
              <w:t>1</w:t>
            </w:r>
            <w:r w:rsidR="00A96B55">
              <w:rPr>
                <w:rFonts w:hint="eastAsia"/>
              </w:rPr>
              <w:t>,</w:t>
            </w:r>
            <w:r w:rsidRPr="00AD03EA">
              <w:t>995</w:t>
            </w:r>
          </w:p>
        </w:tc>
      </w:tr>
      <w:tr w:rsidR="00AD03EA" w:rsidRPr="004B647E" w:rsidTr="000F1E04">
        <w:trPr>
          <w:trHeight w:val="270"/>
          <w:jc w:val="center"/>
        </w:trPr>
        <w:tc>
          <w:tcPr>
            <w:tcW w:w="1770" w:type="dxa"/>
            <w:tcBorders>
              <w:top w:val="nil"/>
              <w:bottom w:val="nil"/>
            </w:tcBorders>
            <w:noWrap/>
            <w:vAlign w:val="center"/>
            <w:hideMark/>
          </w:tcPr>
          <w:p w:rsidR="00AD03EA" w:rsidRPr="004B647E" w:rsidRDefault="00AD03EA" w:rsidP="000F1E04">
            <w:pPr>
              <w:pStyle w:val="t"/>
              <w:spacing w:before="40" w:after="40"/>
              <w:rPr>
                <w:szCs w:val="20"/>
                <w:lang w:bidi="he-IL"/>
              </w:rPr>
            </w:pPr>
            <w:r w:rsidRPr="004B647E">
              <w:rPr>
                <w:rFonts w:hint="eastAsia"/>
                <w:szCs w:val="20"/>
                <w:lang w:bidi="he-IL"/>
              </w:rPr>
              <w:t>Group-4</w:t>
            </w:r>
          </w:p>
        </w:tc>
        <w:tc>
          <w:tcPr>
            <w:tcW w:w="2433" w:type="dxa"/>
            <w:tcBorders>
              <w:top w:val="nil"/>
              <w:bottom w:val="nil"/>
            </w:tcBorders>
            <w:noWrap/>
          </w:tcPr>
          <w:p w:rsidR="00AD03EA" w:rsidRPr="00F366ED" w:rsidRDefault="00AD03EA" w:rsidP="000F1E04">
            <w:pPr>
              <w:pStyle w:val="t"/>
              <w:spacing w:before="40" w:after="40"/>
              <w:jc w:val="center"/>
            </w:pPr>
            <w:r w:rsidRPr="00AD03EA">
              <w:t>5</w:t>
            </w:r>
            <w:r w:rsidR="00A96B55">
              <w:rPr>
                <w:rFonts w:hint="eastAsia"/>
              </w:rPr>
              <w:t>,</w:t>
            </w:r>
            <w:r w:rsidRPr="00AD03EA">
              <w:t>630</w:t>
            </w:r>
          </w:p>
        </w:tc>
      </w:tr>
      <w:tr w:rsidR="00AD03EA" w:rsidRPr="004B647E" w:rsidTr="000F1E04">
        <w:trPr>
          <w:trHeight w:val="285"/>
          <w:jc w:val="center"/>
        </w:trPr>
        <w:tc>
          <w:tcPr>
            <w:tcW w:w="1770" w:type="dxa"/>
            <w:tcBorders>
              <w:top w:val="nil"/>
              <w:bottom w:val="single" w:sz="4" w:space="0" w:color="auto"/>
            </w:tcBorders>
            <w:noWrap/>
            <w:vAlign w:val="center"/>
            <w:hideMark/>
          </w:tcPr>
          <w:p w:rsidR="00AD03EA" w:rsidRPr="004B647E" w:rsidRDefault="00AD03EA" w:rsidP="000F1E04">
            <w:pPr>
              <w:pStyle w:val="t"/>
              <w:spacing w:before="40" w:after="40"/>
              <w:rPr>
                <w:szCs w:val="20"/>
                <w:lang w:bidi="he-IL"/>
              </w:rPr>
            </w:pPr>
            <w:r w:rsidRPr="004B647E">
              <w:rPr>
                <w:rFonts w:hint="eastAsia"/>
                <w:szCs w:val="20"/>
                <w:lang w:bidi="he-IL"/>
              </w:rPr>
              <w:t>Group-5</w:t>
            </w:r>
          </w:p>
        </w:tc>
        <w:tc>
          <w:tcPr>
            <w:tcW w:w="2433" w:type="dxa"/>
            <w:tcBorders>
              <w:top w:val="nil"/>
              <w:bottom w:val="single" w:sz="4" w:space="0" w:color="auto"/>
            </w:tcBorders>
            <w:noWrap/>
          </w:tcPr>
          <w:p w:rsidR="00AD03EA" w:rsidRPr="00F366ED" w:rsidRDefault="00AD03EA" w:rsidP="000F1E04">
            <w:pPr>
              <w:pStyle w:val="t"/>
              <w:spacing w:before="40" w:after="40"/>
              <w:jc w:val="center"/>
            </w:pPr>
            <w:r w:rsidRPr="00AD03EA">
              <w:t>3</w:t>
            </w:r>
            <w:r w:rsidR="00A96B55">
              <w:rPr>
                <w:rFonts w:hint="eastAsia"/>
              </w:rPr>
              <w:t>,</w:t>
            </w:r>
            <w:r w:rsidRPr="00AD03EA">
              <w:t>125</w:t>
            </w:r>
          </w:p>
        </w:tc>
      </w:tr>
    </w:tbl>
    <w:p w:rsidR="00AD03EA" w:rsidRDefault="00AD03EA" w:rsidP="001C7E0B">
      <w:pPr>
        <w:pStyle w:val="t"/>
        <w:rPr>
          <w:szCs w:val="20"/>
          <w:lang w:val="en-GB" w:bidi="he-IL"/>
        </w:rPr>
      </w:pPr>
    </w:p>
    <w:p w:rsidR="007441A0" w:rsidRDefault="007441A0" w:rsidP="000F1E04">
      <w:pPr>
        <w:pStyle w:val="Heading3"/>
        <w:rPr>
          <w:lang w:val="en-GB" w:bidi="he-IL"/>
        </w:rPr>
      </w:pPr>
      <w:bookmarkStart w:id="8" w:name="_Toc381199844"/>
      <w:r>
        <w:rPr>
          <w:rFonts w:hint="eastAsia"/>
          <w:lang w:val="en-GB" w:bidi="he-IL"/>
        </w:rPr>
        <w:t>Economic Values of Lands</w:t>
      </w:r>
      <w:bookmarkEnd w:id="8"/>
    </w:p>
    <w:p w:rsidR="001243B7" w:rsidRDefault="001243B7" w:rsidP="001C7E0B">
      <w:pPr>
        <w:pStyle w:val="t"/>
        <w:rPr>
          <w:szCs w:val="20"/>
          <w:lang w:val="en-GB" w:bidi="he-IL"/>
        </w:rPr>
      </w:pPr>
      <w:r>
        <w:rPr>
          <w:rFonts w:hint="eastAsia"/>
          <w:szCs w:val="20"/>
          <w:lang w:val="en-GB" w:bidi="he-IL"/>
        </w:rPr>
        <w:t>Economic value</w:t>
      </w:r>
      <w:r w:rsidR="00AD03EA">
        <w:rPr>
          <w:rFonts w:hint="eastAsia"/>
          <w:szCs w:val="20"/>
          <w:lang w:val="en-GB" w:bidi="he-IL"/>
        </w:rPr>
        <w:t>s</w:t>
      </w:r>
      <w:r>
        <w:rPr>
          <w:rFonts w:hint="eastAsia"/>
          <w:szCs w:val="20"/>
          <w:lang w:val="en-GB" w:bidi="he-IL"/>
        </w:rPr>
        <w:t xml:space="preserve"> of lands are </w:t>
      </w:r>
      <w:r w:rsidR="00AD03EA">
        <w:rPr>
          <w:rFonts w:hint="eastAsia"/>
          <w:szCs w:val="20"/>
          <w:lang w:val="en-GB" w:bidi="he-IL"/>
        </w:rPr>
        <w:t xml:space="preserve">estimated based on the most likely purpose of land use in </w:t>
      </w:r>
      <w:r w:rsidR="000645A6">
        <w:rPr>
          <w:szCs w:val="20"/>
          <w:lang w:val="en-GB" w:bidi="he-IL"/>
        </w:rPr>
        <w:t>“</w:t>
      </w:r>
      <w:r w:rsidR="00AD03EA">
        <w:rPr>
          <w:rFonts w:hint="eastAsia"/>
          <w:szCs w:val="20"/>
          <w:lang w:val="en-GB" w:bidi="he-IL"/>
        </w:rPr>
        <w:t>without case</w:t>
      </w:r>
      <w:r w:rsidR="000645A6">
        <w:rPr>
          <w:szCs w:val="20"/>
          <w:lang w:val="en-GB" w:bidi="he-IL"/>
        </w:rPr>
        <w:t>”</w:t>
      </w:r>
      <w:r w:rsidR="00AD03EA">
        <w:rPr>
          <w:rFonts w:hint="eastAsia"/>
          <w:szCs w:val="20"/>
          <w:lang w:val="en-GB" w:bidi="he-IL"/>
        </w:rPr>
        <w:t xml:space="preserve">. </w:t>
      </w:r>
      <w:r w:rsidR="007441A0">
        <w:rPr>
          <w:rFonts w:hint="eastAsia"/>
          <w:szCs w:val="20"/>
          <w:lang w:val="en-GB" w:bidi="he-IL"/>
        </w:rPr>
        <w:t xml:space="preserve">Since as much as 70% of population engage in </w:t>
      </w:r>
      <w:r w:rsidR="007441A0">
        <w:rPr>
          <w:szCs w:val="20"/>
          <w:lang w:val="en-GB" w:bidi="he-IL"/>
        </w:rPr>
        <w:t>agriculture</w:t>
      </w:r>
      <w:r w:rsidR="007441A0">
        <w:rPr>
          <w:rFonts w:hint="eastAsia"/>
          <w:szCs w:val="20"/>
          <w:lang w:val="en-GB" w:bidi="he-IL"/>
        </w:rPr>
        <w:t xml:space="preserve"> in Nigeria, the agricultural use is the most likely purpose for the lands. In this study, economic values of lands were evaluated based on the domestic market price of maize, which is the most prevailing cultivated crop in Nigeria. </w:t>
      </w:r>
      <w:r w:rsidR="00F11264">
        <w:rPr>
          <w:rFonts w:hint="eastAsia"/>
          <w:szCs w:val="20"/>
          <w:lang w:val="en-GB" w:bidi="he-IL"/>
        </w:rPr>
        <w:t xml:space="preserve">As for the yield of maize, cereal yield data of </w:t>
      </w:r>
      <w:r w:rsidR="00F11264">
        <w:rPr>
          <w:szCs w:val="20"/>
          <w:lang w:val="en-GB" w:bidi="he-IL"/>
        </w:rPr>
        <w:t>World Bank</w:t>
      </w:r>
      <w:r w:rsidR="00F11264">
        <w:rPr>
          <w:rFonts w:hint="eastAsia"/>
          <w:szCs w:val="20"/>
          <w:lang w:val="en-GB" w:bidi="he-IL"/>
        </w:rPr>
        <w:t xml:space="preserve"> was </w:t>
      </w:r>
      <w:r w:rsidR="007A6C2A">
        <w:rPr>
          <w:szCs w:val="20"/>
          <w:lang w:val="en-GB" w:bidi="he-IL"/>
        </w:rPr>
        <w:t>alternatively</w:t>
      </w:r>
      <w:r w:rsidR="007A6C2A">
        <w:rPr>
          <w:rFonts w:hint="eastAsia"/>
          <w:szCs w:val="20"/>
          <w:lang w:val="en-GB" w:bidi="he-IL"/>
        </w:rPr>
        <w:t xml:space="preserve"> </w:t>
      </w:r>
      <w:r w:rsidR="00F11264">
        <w:rPr>
          <w:rFonts w:hint="eastAsia"/>
          <w:szCs w:val="20"/>
          <w:lang w:val="en-GB" w:bidi="he-IL"/>
        </w:rPr>
        <w:t xml:space="preserve">used </w:t>
      </w:r>
      <w:r w:rsidR="007A6C2A">
        <w:rPr>
          <w:rFonts w:hint="eastAsia"/>
          <w:szCs w:val="20"/>
          <w:lang w:val="en-GB" w:bidi="he-IL"/>
        </w:rPr>
        <w:t>in this study</w:t>
      </w:r>
      <w:r w:rsidR="00F11264">
        <w:rPr>
          <w:rFonts w:hint="eastAsia"/>
          <w:szCs w:val="20"/>
          <w:lang w:val="en-GB" w:bidi="he-IL"/>
        </w:rPr>
        <w:t xml:space="preserve">. </w:t>
      </w:r>
      <w:r w:rsidR="00BA288C">
        <w:rPr>
          <w:rFonts w:hint="eastAsia"/>
          <w:szCs w:val="20"/>
          <w:lang w:val="en-GB" w:bidi="he-IL"/>
        </w:rPr>
        <w:t>Assumption basis are as follows.</w:t>
      </w:r>
    </w:p>
    <w:p w:rsidR="003C5968" w:rsidRDefault="003C5968" w:rsidP="000C23E4">
      <w:pPr>
        <w:pStyle w:val="t"/>
        <w:keepNext/>
        <w:spacing w:after="120"/>
        <w:jc w:val="center"/>
        <w:rPr>
          <w:b/>
          <w:szCs w:val="20"/>
          <w:lang w:bidi="he-IL"/>
        </w:rPr>
      </w:pPr>
      <w:r w:rsidRPr="004B647E">
        <w:rPr>
          <w:rFonts w:hint="eastAsia"/>
          <w:b/>
          <w:szCs w:val="20"/>
          <w:lang w:val="en-GB" w:bidi="he-IL"/>
        </w:rPr>
        <w:t xml:space="preserve">Table </w:t>
      </w:r>
      <w:proofErr w:type="gramStart"/>
      <w:r w:rsidR="00552336">
        <w:rPr>
          <w:rFonts w:hint="eastAsia"/>
          <w:b/>
          <w:szCs w:val="20"/>
          <w:lang w:val="en-GB" w:bidi="he-IL"/>
        </w:rPr>
        <w:t xml:space="preserve">5 </w:t>
      </w:r>
      <w:r w:rsidRPr="004B647E">
        <w:rPr>
          <w:rFonts w:hint="eastAsia"/>
          <w:b/>
          <w:szCs w:val="20"/>
          <w:lang w:val="en-GB" w:bidi="he-IL"/>
        </w:rPr>
        <w:t xml:space="preserve"> </w:t>
      </w:r>
      <w:r w:rsidR="00EC1AD7">
        <w:rPr>
          <w:rFonts w:hint="eastAsia"/>
          <w:b/>
          <w:szCs w:val="20"/>
          <w:lang w:bidi="he-IL"/>
        </w:rPr>
        <w:t>Assumption</w:t>
      </w:r>
      <w:proofErr w:type="gramEnd"/>
      <w:r w:rsidR="00EC1AD7">
        <w:rPr>
          <w:rFonts w:hint="eastAsia"/>
          <w:b/>
          <w:szCs w:val="20"/>
          <w:lang w:bidi="he-IL"/>
        </w:rPr>
        <w:t xml:space="preserve"> Basis of Land Economic Value</w:t>
      </w:r>
    </w:p>
    <w:tbl>
      <w:tblPr>
        <w:tblStyle w:val="TableGrid"/>
        <w:tblW w:w="0" w:type="auto"/>
        <w:jc w:val="center"/>
        <w:tblInd w:w="-2866" w:type="dxa"/>
        <w:tblLook w:val="04A0"/>
      </w:tblPr>
      <w:tblGrid>
        <w:gridCol w:w="4054"/>
        <w:gridCol w:w="3906"/>
      </w:tblGrid>
      <w:tr w:rsidR="003C5968" w:rsidRPr="001220A4" w:rsidTr="000F1E04">
        <w:trPr>
          <w:trHeight w:val="270"/>
          <w:jc w:val="center"/>
        </w:trPr>
        <w:tc>
          <w:tcPr>
            <w:tcW w:w="4054" w:type="dxa"/>
            <w:noWrap/>
            <w:vAlign w:val="center"/>
            <w:hideMark/>
          </w:tcPr>
          <w:p w:rsidR="003C5968" w:rsidRPr="001220A4" w:rsidRDefault="003C5968" w:rsidP="001220A4">
            <w:pPr>
              <w:pStyle w:val="t"/>
              <w:keepNext/>
              <w:spacing w:before="40" w:after="40"/>
              <w:rPr>
                <w:b/>
                <w:szCs w:val="20"/>
                <w:lang w:bidi="he-IL"/>
              </w:rPr>
            </w:pPr>
            <w:r w:rsidRPr="001220A4">
              <w:rPr>
                <w:rFonts w:hint="eastAsia"/>
                <w:b/>
                <w:szCs w:val="20"/>
                <w:lang w:bidi="he-IL"/>
              </w:rPr>
              <w:t>Group</w:t>
            </w:r>
          </w:p>
        </w:tc>
        <w:tc>
          <w:tcPr>
            <w:tcW w:w="3906" w:type="dxa"/>
            <w:noWrap/>
            <w:vAlign w:val="center"/>
            <w:hideMark/>
          </w:tcPr>
          <w:p w:rsidR="003C5968" w:rsidRPr="001220A4" w:rsidRDefault="003C5968" w:rsidP="001220A4">
            <w:pPr>
              <w:pStyle w:val="t"/>
              <w:keepNext/>
              <w:spacing w:before="40" w:after="40"/>
              <w:jc w:val="center"/>
              <w:rPr>
                <w:b/>
                <w:szCs w:val="20"/>
                <w:lang w:bidi="he-IL"/>
              </w:rPr>
            </w:pPr>
            <w:r w:rsidRPr="001220A4">
              <w:rPr>
                <w:rFonts w:hint="eastAsia"/>
                <w:b/>
                <w:szCs w:val="20"/>
                <w:lang w:bidi="he-IL"/>
              </w:rPr>
              <w:t>Estimated Occupied Areas</w:t>
            </w:r>
          </w:p>
        </w:tc>
      </w:tr>
      <w:tr w:rsidR="003C5968" w:rsidRPr="004B647E" w:rsidTr="000F1E04">
        <w:trPr>
          <w:trHeight w:val="270"/>
          <w:jc w:val="center"/>
        </w:trPr>
        <w:tc>
          <w:tcPr>
            <w:tcW w:w="4054" w:type="dxa"/>
            <w:noWrap/>
            <w:vAlign w:val="center"/>
            <w:hideMark/>
          </w:tcPr>
          <w:p w:rsidR="003C5968" w:rsidRPr="003C5968" w:rsidRDefault="003C5968" w:rsidP="000C23E4">
            <w:pPr>
              <w:pStyle w:val="t"/>
              <w:keepNext/>
              <w:spacing w:before="40" w:after="40"/>
              <w:rPr>
                <w:szCs w:val="20"/>
                <w:vertAlign w:val="superscript"/>
                <w:lang w:bidi="he-IL"/>
              </w:rPr>
            </w:pPr>
            <w:r>
              <w:rPr>
                <w:rFonts w:hint="eastAsia"/>
                <w:szCs w:val="20"/>
                <w:lang w:bidi="he-IL"/>
              </w:rPr>
              <w:t>Domestic Market Price of Maize</w:t>
            </w:r>
            <w:r>
              <w:rPr>
                <w:rFonts w:hint="eastAsia"/>
                <w:szCs w:val="20"/>
                <w:vertAlign w:val="superscript"/>
                <w:lang w:bidi="he-IL"/>
              </w:rPr>
              <w:t>1)</w:t>
            </w:r>
          </w:p>
        </w:tc>
        <w:tc>
          <w:tcPr>
            <w:tcW w:w="3906" w:type="dxa"/>
            <w:noWrap/>
            <w:vAlign w:val="center"/>
          </w:tcPr>
          <w:p w:rsidR="003C5968" w:rsidRPr="00F366ED" w:rsidRDefault="003C5968" w:rsidP="000C23E4">
            <w:pPr>
              <w:pStyle w:val="t"/>
              <w:keepNext/>
              <w:spacing w:before="40" w:after="40"/>
            </w:pPr>
            <w:r w:rsidRPr="003C5968">
              <w:t>92</w:t>
            </w:r>
            <w:r>
              <w:rPr>
                <w:rFonts w:hint="eastAsia"/>
              </w:rPr>
              <w:t>,</w:t>
            </w:r>
            <w:r w:rsidRPr="003C5968">
              <w:t>593</w:t>
            </w:r>
            <w:r>
              <w:rPr>
                <w:rFonts w:hint="eastAsia"/>
              </w:rPr>
              <w:t xml:space="preserve"> NGN</w:t>
            </w:r>
            <w:r w:rsidRPr="003C5968">
              <w:t>/1000kg</w:t>
            </w:r>
          </w:p>
        </w:tc>
      </w:tr>
      <w:tr w:rsidR="003C5968" w:rsidRPr="004B647E" w:rsidTr="000F1E04">
        <w:trPr>
          <w:trHeight w:val="270"/>
          <w:jc w:val="center"/>
        </w:trPr>
        <w:tc>
          <w:tcPr>
            <w:tcW w:w="4054" w:type="dxa"/>
            <w:noWrap/>
            <w:vAlign w:val="center"/>
            <w:hideMark/>
          </w:tcPr>
          <w:p w:rsidR="003C5968" w:rsidRPr="003C5968" w:rsidRDefault="003C5968" w:rsidP="000F1E04">
            <w:pPr>
              <w:pStyle w:val="t"/>
              <w:spacing w:before="40" w:after="40"/>
              <w:rPr>
                <w:szCs w:val="20"/>
                <w:vertAlign w:val="superscript"/>
                <w:lang w:bidi="he-IL"/>
              </w:rPr>
            </w:pPr>
            <w:r>
              <w:rPr>
                <w:rFonts w:hint="eastAsia"/>
                <w:szCs w:val="20"/>
                <w:lang w:bidi="he-IL"/>
              </w:rPr>
              <w:t>Cereal Yield (2012)</w:t>
            </w:r>
            <w:r>
              <w:rPr>
                <w:rFonts w:hint="eastAsia"/>
                <w:szCs w:val="20"/>
                <w:vertAlign w:val="superscript"/>
                <w:lang w:bidi="he-IL"/>
              </w:rPr>
              <w:t>2)</w:t>
            </w:r>
          </w:p>
        </w:tc>
        <w:tc>
          <w:tcPr>
            <w:tcW w:w="3906" w:type="dxa"/>
            <w:noWrap/>
            <w:vAlign w:val="center"/>
          </w:tcPr>
          <w:p w:rsidR="003C5968" w:rsidRPr="00F366ED" w:rsidRDefault="003C5968" w:rsidP="000F1E04">
            <w:pPr>
              <w:pStyle w:val="t"/>
              <w:spacing w:before="40" w:after="40"/>
            </w:pPr>
            <w:r w:rsidRPr="003C5968">
              <w:t>1,363kg/ha</w:t>
            </w:r>
          </w:p>
        </w:tc>
      </w:tr>
    </w:tbl>
    <w:p w:rsidR="00B04D7D" w:rsidRPr="003C5968" w:rsidRDefault="003C5968" w:rsidP="000F1E04">
      <w:pPr>
        <w:pStyle w:val="t"/>
        <w:jc w:val="center"/>
        <w:rPr>
          <w:sz w:val="18"/>
          <w:szCs w:val="18"/>
          <w:lang w:val="en-GB" w:bidi="he-IL"/>
        </w:rPr>
      </w:pPr>
      <w:r w:rsidRPr="003C5968">
        <w:rPr>
          <w:rFonts w:hint="eastAsia"/>
          <w:sz w:val="18"/>
          <w:szCs w:val="18"/>
          <w:lang w:val="en-GB" w:bidi="he-IL"/>
        </w:rPr>
        <w:t xml:space="preserve">Source: 1) </w:t>
      </w:r>
      <w:r w:rsidRPr="003C5968">
        <w:rPr>
          <w:sz w:val="18"/>
          <w:szCs w:val="18"/>
          <w:lang w:val="en-GB" w:bidi="he-IL"/>
        </w:rPr>
        <w:t>West-African Market Information Networ</w:t>
      </w:r>
      <w:r w:rsidRPr="003C5968">
        <w:rPr>
          <w:rFonts w:hint="eastAsia"/>
          <w:sz w:val="18"/>
          <w:szCs w:val="18"/>
          <w:lang w:val="en-GB" w:bidi="he-IL"/>
        </w:rPr>
        <w:t>k</w:t>
      </w:r>
      <w:r w:rsidRPr="003C5968">
        <w:rPr>
          <w:rStyle w:val="FootnoteReference"/>
          <w:sz w:val="18"/>
          <w:szCs w:val="18"/>
          <w:lang w:val="en-GB" w:bidi="he-IL"/>
        </w:rPr>
        <w:footnoteReference w:id="1"/>
      </w:r>
      <w:r w:rsidRPr="003C5968">
        <w:rPr>
          <w:rFonts w:hint="eastAsia"/>
          <w:sz w:val="18"/>
          <w:szCs w:val="18"/>
          <w:lang w:val="en-GB" w:bidi="he-IL"/>
        </w:rPr>
        <w:t xml:space="preserve"> 2) World Bank</w:t>
      </w:r>
    </w:p>
    <w:p w:rsidR="00FE3489" w:rsidRDefault="00FE3489" w:rsidP="000F1E04">
      <w:pPr>
        <w:pStyle w:val="Heading1"/>
      </w:pPr>
      <w:bookmarkStart w:id="9" w:name="_Toc381199845"/>
      <w:r w:rsidRPr="0084084D">
        <w:lastRenderedPageBreak/>
        <w:t xml:space="preserve">Assumptions and Conditions for Estimation of Economic </w:t>
      </w:r>
      <w:r>
        <w:rPr>
          <w:rFonts w:hint="eastAsia"/>
        </w:rPr>
        <w:t>Costs</w:t>
      </w:r>
      <w:bookmarkEnd w:id="9"/>
    </w:p>
    <w:p w:rsidR="004F56FD" w:rsidRDefault="00027265" w:rsidP="000F1E04">
      <w:pPr>
        <w:pStyle w:val="Heading2"/>
        <w:rPr>
          <w:lang w:val="en-GB" w:bidi="he-IL"/>
        </w:rPr>
      </w:pPr>
      <w:bookmarkStart w:id="10" w:name="_Toc381199846"/>
      <w:r>
        <w:rPr>
          <w:rFonts w:hint="eastAsia"/>
          <w:lang w:val="en-GB" w:bidi="he-IL"/>
        </w:rPr>
        <w:t>Initial Investment</w:t>
      </w:r>
      <w:r w:rsidR="004F56FD">
        <w:rPr>
          <w:rFonts w:hint="eastAsia"/>
          <w:lang w:val="en-GB" w:bidi="he-IL"/>
        </w:rPr>
        <w:t xml:space="preserve"> Cost</w:t>
      </w:r>
      <w:bookmarkEnd w:id="10"/>
    </w:p>
    <w:p w:rsidR="00BD72EA" w:rsidRDefault="00027265" w:rsidP="001C7E0B">
      <w:pPr>
        <w:pStyle w:val="t"/>
        <w:rPr>
          <w:szCs w:val="20"/>
          <w:lang w:val="en-GB" w:bidi="he-IL"/>
        </w:rPr>
      </w:pPr>
      <w:r>
        <w:rPr>
          <w:rFonts w:hint="eastAsia"/>
          <w:szCs w:val="20"/>
          <w:lang w:val="en-GB" w:bidi="he-IL"/>
        </w:rPr>
        <w:t>Initial investment</w:t>
      </w:r>
      <w:r w:rsidR="00BD72EA">
        <w:rPr>
          <w:rFonts w:hint="eastAsia"/>
          <w:szCs w:val="20"/>
          <w:lang w:val="en-GB" w:bidi="he-IL"/>
        </w:rPr>
        <w:t xml:space="preserve"> cost</w:t>
      </w:r>
      <w:r w:rsidR="004F56FD">
        <w:rPr>
          <w:rFonts w:hint="eastAsia"/>
          <w:szCs w:val="20"/>
          <w:lang w:val="en-GB" w:bidi="he-IL"/>
        </w:rPr>
        <w:t>s</w:t>
      </w:r>
      <w:r w:rsidR="00BD72EA">
        <w:rPr>
          <w:rFonts w:hint="eastAsia"/>
          <w:szCs w:val="20"/>
          <w:lang w:val="en-GB" w:bidi="he-IL"/>
        </w:rPr>
        <w:t xml:space="preserve"> of each group are as follows.</w:t>
      </w:r>
    </w:p>
    <w:p w:rsidR="00A96B55" w:rsidRPr="0084084D" w:rsidRDefault="00BD72EA" w:rsidP="000F1E04">
      <w:pPr>
        <w:pStyle w:val="t"/>
        <w:spacing w:after="120"/>
        <w:jc w:val="center"/>
        <w:rPr>
          <w:szCs w:val="20"/>
          <w:lang w:val="en-GB" w:bidi="he-IL"/>
        </w:rPr>
      </w:pPr>
      <w:r w:rsidRPr="004B647E">
        <w:rPr>
          <w:rFonts w:hint="eastAsia"/>
          <w:b/>
          <w:szCs w:val="20"/>
          <w:lang w:val="en-GB" w:bidi="he-IL"/>
        </w:rPr>
        <w:t xml:space="preserve">Table </w:t>
      </w:r>
      <w:proofErr w:type="gramStart"/>
      <w:r w:rsidR="00552336">
        <w:rPr>
          <w:rFonts w:hint="eastAsia"/>
          <w:b/>
          <w:szCs w:val="20"/>
          <w:lang w:val="en-GB" w:bidi="he-IL"/>
        </w:rPr>
        <w:t xml:space="preserve">6 </w:t>
      </w:r>
      <w:r w:rsidRPr="004B647E">
        <w:rPr>
          <w:rFonts w:hint="eastAsia"/>
          <w:b/>
          <w:szCs w:val="20"/>
          <w:lang w:val="en-GB" w:bidi="he-IL"/>
        </w:rPr>
        <w:t xml:space="preserve"> </w:t>
      </w:r>
      <w:r>
        <w:rPr>
          <w:rFonts w:hint="eastAsia"/>
          <w:b/>
          <w:szCs w:val="20"/>
          <w:lang w:bidi="he-IL"/>
        </w:rPr>
        <w:t>Estimated</w:t>
      </w:r>
      <w:proofErr w:type="gramEnd"/>
      <w:r>
        <w:rPr>
          <w:rFonts w:hint="eastAsia"/>
          <w:b/>
          <w:szCs w:val="20"/>
          <w:lang w:bidi="he-IL"/>
        </w:rPr>
        <w:t xml:space="preserve"> </w:t>
      </w:r>
      <w:r w:rsidR="00C93032" w:rsidRPr="00C93032">
        <w:rPr>
          <w:b/>
          <w:szCs w:val="20"/>
          <w:lang w:bidi="he-IL"/>
        </w:rPr>
        <w:t>Initial Investment Cost of Project</w:t>
      </w:r>
    </w:p>
    <w:tbl>
      <w:tblPr>
        <w:tblStyle w:val="TableGrid"/>
        <w:tblW w:w="0" w:type="auto"/>
        <w:jc w:val="center"/>
        <w:tblInd w:w="-582" w:type="dxa"/>
        <w:tblLook w:val="04A0"/>
      </w:tblPr>
      <w:tblGrid>
        <w:gridCol w:w="1770"/>
        <w:gridCol w:w="2659"/>
      </w:tblGrid>
      <w:tr w:rsidR="00A96B55" w:rsidRPr="000F1E04" w:rsidTr="009C66B8">
        <w:trPr>
          <w:trHeight w:val="270"/>
          <w:jc w:val="center"/>
        </w:trPr>
        <w:tc>
          <w:tcPr>
            <w:tcW w:w="1770" w:type="dxa"/>
            <w:noWrap/>
            <w:vAlign w:val="center"/>
            <w:hideMark/>
          </w:tcPr>
          <w:p w:rsidR="00A96B55" w:rsidRPr="000F1E04" w:rsidRDefault="00A96B55" w:rsidP="000F1E04">
            <w:pPr>
              <w:pStyle w:val="t"/>
              <w:spacing w:before="40" w:after="40"/>
              <w:rPr>
                <w:b/>
                <w:szCs w:val="20"/>
                <w:lang w:bidi="he-IL"/>
              </w:rPr>
            </w:pPr>
            <w:r w:rsidRPr="000F1E04">
              <w:rPr>
                <w:rFonts w:hint="eastAsia"/>
                <w:b/>
                <w:szCs w:val="20"/>
                <w:lang w:bidi="he-IL"/>
              </w:rPr>
              <w:t>Group</w:t>
            </w:r>
          </w:p>
        </w:tc>
        <w:tc>
          <w:tcPr>
            <w:tcW w:w="2659" w:type="dxa"/>
            <w:noWrap/>
            <w:vAlign w:val="center"/>
            <w:hideMark/>
          </w:tcPr>
          <w:p w:rsidR="00A96B55" w:rsidRPr="000F1E04" w:rsidRDefault="00C93032" w:rsidP="000F1E04">
            <w:pPr>
              <w:pStyle w:val="t"/>
              <w:spacing w:before="40" w:after="40"/>
              <w:jc w:val="center"/>
              <w:rPr>
                <w:b/>
                <w:szCs w:val="20"/>
                <w:lang w:bidi="he-IL"/>
              </w:rPr>
            </w:pPr>
            <w:r w:rsidRPr="000F1E04">
              <w:rPr>
                <w:b/>
                <w:szCs w:val="20"/>
                <w:lang w:bidi="he-IL"/>
              </w:rPr>
              <w:t>Initial Investment Cost</w:t>
            </w:r>
            <w:r w:rsidR="009C66B8" w:rsidRPr="000F1E04">
              <w:rPr>
                <w:rFonts w:hint="eastAsia"/>
                <w:b/>
                <w:szCs w:val="20"/>
                <w:lang w:bidi="he-IL"/>
              </w:rPr>
              <w:t xml:space="preserve"> (million USD)</w:t>
            </w:r>
          </w:p>
        </w:tc>
      </w:tr>
      <w:tr w:rsidR="00A96B55" w:rsidRPr="004B647E" w:rsidTr="009C66B8">
        <w:trPr>
          <w:trHeight w:val="270"/>
          <w:jc w:val="center"/>
        </w:trPr>
        <w:tc>
          <w:tcPr>
            <w:tcW w:w="1770" w:type="dxa"/>
            <w:noWrap/>
            <w:vAlign w:val="center"/>
            <w:hideMark/>
          </w:tcPr>
          <w:p w:rsidR="00A96B55" w:rsidRPr="004B647E" w:rsidRDefault="00A96B55" w:rsidP="000F1E04">
            <w:pPr>
              <w:pStyle w:val="t"/>
              <w:spacing w:before="40" w:after="40"/>
              <w:rPr>
                <w:szCs w:val="20"/>
                <w:lang w:bidi="he-IL"/>
              </w:rPr>
            </w:pPr>
            <w:r w:rsidRPr="004B647E">
              <w:rPr>
                <w:rFonts w:hint="eastAsia"/>
                <w:szCs w:val="20"/>
                <w:lang w:bidi="he-IL"/>
              </w:rPr>
              <w:t>Group-1</w:t>
            </w:r>
          </w:p>
        </w:tc>
        <w:tc>
          <w:tcPr>
            <w:tcW w:w="2659" w:type="dxa"/>
            <w:noWrap/>
          </w:tcPr>
          <w:p w:rsidR="00A96B55" w:rsidRPr="00F366ED" w:rsidRDefault="00A96B55" w:rsidP="000F1E04">
            <w:pPr>
              <w:pStyle w:val="t"/>
              <w:spacing w:before="40" w:after="40"/>
              <w:jc w:val="center"/>
            </w:pPr>
            <w:r w:rsidRPr="00A96B55">
              <w:t>43</w:t>
            </w:r>
            <w:r w:rsidR="009C66B8">
              <w:rPr>
                <w:rFonts w:hint="eastAsia"/>
              </w:rPr>
              <w:t>8</w:t>
            </w:r>
          </w:p>
        </w:tc>
      </w:tr>
      <w:tr w:rsidR="00A96B55" w:rsidRPr="004B647E" w:rsidTr="009C66B8">
        <w:trPr>
          <w:trHeight w:val="270"/>
          <w:jc w:val="center"/>
        </w:trPr>
        <w:tc>
          <w:tcPr>
            <w:tcW w:w="1770" w:type="dxa"/>
            <w:noWrap/>
            <w:vAlign w:val="center"/>
            <w:hideMark/>
          </w:tcPr>
          <w:p w:rsidR="00A96B55" w:rsidRPr="004B647E" w:rsidRDefault="00A96B55" w:rsidP="000F1E04">
            <w:pPr>
              <w:pStyle w:val="t"/>
              <w:spacing w:before="40" w:after="40"/>
              <w:rPr>
                <w:szCs w:val="20"/>
                <w:lang w:bidi="he-IL"/>
              </w:rPr>
            </w:pPr>
            <w:r w:rsidRPr="004B647E">
              <w:rPr>
                <w:rFonts w:hint="eastAsia"/>
                <w:szCs w:val="20"/>
                <w:lang w:bidi="he-IL"/>
              </w:rPr>
              <w:t>Group-2</w:t>
            </w:r>
          </w:p>
        </w:tc>
        <w:tc>
          <w:tcPr>
            <w:tcW w:w="2659" w:type="dxa"/>
            <w:noWrap/>
          </w:tcPr>
          <w:p w:rsidR="00A96B55" w:rsidRPr="00F366ED" w:rsidRDefault="00A96B55" w:rsidP="000F1E04">
            <w:pPr>
              <w:pStyle w:val="t"/>
              <w:spacing w:before="40" w:after="40"/>
              <w:jc w:val="center"/>
            </w:pPr>
            <w:r w:rsidRPr="00A96B55">
              <w:t>548</w:t>
            </w:r>
          </w:p>
        </w:tc>
      </w:tr>
      <w:tr w:rsidR="00A96B55" w:rsidRPr="004B647E" w:rsidTr="009C66B8">
        <w:trPr>
          <w:trHeight w:val="270"/>
          <w:jc w:val="center"/>
        </w:trPr>
        <w:tc>
          <w:tcPr>
            <w:tcW w:w="1770" w:type="dxa"/>
            <w:noWrap/>
            <w:vAlign w:val="center"/>
            <w:hideMark/>
          </w:tcPr>
          <w:p w:rsidR="00A96B55" w:rsidRPr="004B647E" w:rsidRDefault="00A96B55" w:rsidP="000F1E04">
            <w:pPr>
              <w:pStyle w:val="t"/>
              <w:spacing w:before="40" w:after="40"/>
              <w:rPr>
                <w:szCs w:val="20"/>
                <w:lang w:bidi="he-IL"/>
              </w:rPr>
            </w:pPr>
            <w:r w:rsidRPr="004B647E">
              <w:rPr>
                <w:rFonts w:hint="eastAsia"/>
                <w:szCs w:val="20"/>
                <w:lang w:bidi="he-IL"/>
              </w:rPr>
              <w:t>Group-3</w:t>
            </w:r>
          </w:p>
        </w:tc>
        <w:tc>
          <w:tcPr>
            <w:tcW w:w="2659" w:type="dxa"/>
            <w:noWrap/>
          </w:tcPr>
          <w:p w:rsidR="00A96B55" w:rsidRPr="00F366ED" w:rsidRDefault="00A96B55" w:rsidP="000F1E04">
            <w:pPr>
              <w:pStyle w:val="t"/>
              <w:spacing w:before="40" w:after="40"/>
              <w:jc w:val="center"/>
            </w:pPr>
            <w:r w:rsidRPr="00A96B55">
              <w:t>246</w:t>
            </w:r>
          </w:p>
        </w:tc>
      </w:tr>
      <w:tr w:rsidR="00A96B55" w:rsidRPr="004B647E" w:rsidTr="009C66B8">
        <w:trPr>
          <w:trHeight w:val="270"/>
          <w:jc w:val="center"/>
        </w:trPr>
        <w:tc>
          <w:tcPr>
            <w:tcW w:w="1770" w:type="dxa"/>
            <w:tcBorders>
              <w:bottom w:val="single" w:sz="4" w:space="0" w:color="auto"/>
            </w:tcBorders>
            <w:noWrap/>
            <w:vAlign w:val="center"/>
            <w:hideMark/>
          </w:tcPr>
          <w:p w:rsidR="00A96B55" w:rsidRPr="004B647E" w:rsidRDefault="00A96B55" w:rsidP="000F1E04">
            <w:pPr>
              <w:pStyle w:val="t"/>
              <w:spacing w:before="40" w:after="40"/>
              <w:rPr>
                <w:szCs w:val="20"/>
                <w:lang w:bidi="he-IL"/>
              </w:rPr>
            </w:pPr>
            <w:r w:rsidRPr="004B647E">
              <w:rPr>
                <w:rFonts w:hint="eastAsia"/>
                <w:szCs w:val="20"/>
                <w:lang w:bidi="he-IL"/>
              </w:rPr>
              <w:t>Group-4</w:t>
            </w:r>
          </w:p>
        </w:tc>
        <w:tc>
          <w:tcPr>
            <w:tcW w:w="2659" w:type="dxa"/>
            <w:tcBorders>
              <w:bottom w:val="single" w:sz="4" w:space="0" w:color="auto"/>
            </w:tcBorders>
            <w:noWrap/>
          </w:tcPr>
          <w:p w:rsidR="00A96B55" w:rsidRPr="00F366ED" w:rsidRDefault="00A96B55" w:rsidP="000F1E04">
            <w:pPr>
              <w:pStyle w:val="t"/>
              <w:spacing w:before="40" w:after="40"/>
              <w:jc w:val="center"/>
            </w:pPr>
            <w:r w:rsidRPr="00A96B55">
              <w:t>61</w:t>
            </w:r>
            <w:r w:rsidR="009C66B8">
              <w:rPr>
                <w:rFonts w:hint="eastAsia"/>
              </w:rPr>
              <w:t>8</w:t>
            </w:r>
          </w:p>
        </w:tc>
      </w:tr>
      <w:tr w:rsidR="00A96B55" w:rsidRPr="004B647E" w:rsidTr="009C66B8">
        <w:trPr>
          <w:trHeight w:val="285"/>
          <w:jc w:val="center"/>
        </w:trPr>
        <w:tc>
          <w:tcPr>
            <w:tcW w:w="1770" w:type="dxa"/>
            <w:tcBorders>
              <w:bottom w:val="double" w:sz="4" w:space="0" w:color="auto"/>
            </w:tcBorders>
            <w:noWrap/>
            <w:vAlign w:val="center"/>
            <w:hideMark/>
          </w:tcPr>
          <w:p w:rsidR="00A96B55" w:rsidRPr="004B647E" w:rsidRDefault="00A96B55" w:rsidP="000F1E04">
            <w:pPr>
              <w:pStyle w:val="t"/>
              <w:spacing w:before="40" w:after="40"/>
              <w:rPr>
                <w:szCs w:val="20"/>
                <w:lang w:bidi="he-IL"/>
              </w:rPr>
            </w:pPr>
            <w:r w:rsidRPr="004B647E">
              <w:rPr>
                <w:rFonts w:hint="eastAsia"/>
                <w:szCs w:val="20"/>
                <w:lang w:bidi="he-IL"/>
              </w:rPr>
              <w:t>Group-5</w:t>
            </w:r>
          </w:p>
        </w:tc>
        <w:tc>
          <w:tcPr>
            <w:tcW w:w="2659" w:type="dxa"/>
            <w:tcBorders>
              <w:bottom w:val="double" w:sz="4" w:space="0" w:color="auto"/>
            </w:tcBorders>
            <w:noWrap/>
          </w:tcPr>
          <w:p w:rsidR="00A96B55" w:rsidRPr="00F366ED" w:rsidRDefault="00A96B55" w:rsidP="000F1E04">
            <w:pPr>
              <w:pStyle w:val="t"/>
              <w:spacing w:before="40" w:after="40"/>
              <w:jc w:val="center"/>
            </w:pPr>
            <w:r w:rsidRPr="00A96B55">
              <w:t>385</w:t>
            </w:r>
          </w:p>
        </w:tc>
      </w:tr>
      <w:tr w:rsidR="009C66B8" w:rsidRPr="004B647E" w:rsidTr="009C66B8">
        <w:trPr>
          <w:trHeight w:val="285"/>
          <w:jc w:val="center"/>
        </w:trPr>
        <w:tc>
          <w:tcPr>
            <w:tcW w:w="1770" w:type="dxa"/>
            <w:tcBorders>
              <w:top w:val="double" w:sz="4" w:space="0" w:color="auto"/>
              <w:bottom w:val="single" w:sz="4" w:space="0" w:color="auto"/>
            </w:tcBorders>
            <w:noWrap/>
            <w:vAlign w:val="center"/>
          </w:tcPr>
          <w:p w:rsidR="009C66B8" w:rsidRPr="004B647E" w:rsidRDefault="009C66B8" w:rsidP="000F1E04">
            <w:pPr>
              <w:pStyle w:val="t"/>
              <w:spacing w:before="40" w:after="40"/>
              <w:rPr>
                <w:szCs w:val="20"/>
                <w:lang w:bidi="he-IL"/>
              </w:rPr>
            </w:pPr>
            <w:r>
              <w:rPr>
                <w:rFonts w:hint="eastAsia"/>
                <w:szCs w:val="20"/>
                <w:lang w:bidi="he-IL"/>
              </w:rPr>
              <w:t>Total</w:t>
            </w:r>
          </w:p>
        </w:tc>
        <w:tc>
          <w:tcPr>
            <w:tcW w:w="2659" w:type="dxa"/>
            <w:tcBorders>
              <w:top w:val="double" w:sz="4" w:space="0" w:color="auto"/>
              <w:bottom w:val="single" w:sz="4" w:space="0" w:color="auto"/>
            </w:tcBorders>
            <w:noWrap/>
          </w:tcPr>
          <w:p w:rsidR="009C66B8" w:rsidRPr="00A96B55" w:rsidRDefault="009C66B8" w:rsidP="000F1E04">
            <w:pPr>
              <w:pStyle w:val="t"/>
              <w:spacing w:before="40" w:after="40"/>
              <w:jc w:val="center"/>
            </w:pPr>
            <w:r>
              <w:rPr>
                <w:rFonts w:hint="eastAsia"/>
              </w:rPr>
              <w:t>2,235</w:t>
            </w:r>
          </w:p>
        </w:tc>
      </w:tr>
    </w:tbl>
    <w:p w:rsidR="00AD03EA" w:rsidRDefault="00AD03EA" w:rsidP="001C7E0B">
      <w:pPr>
        <w:pStyle w:val="t"/>
        <w:rPr>
          <w:szCs w:val="20"/>
          <w:lang w:val="en-GB" w:bidi="he-IL"/>
        </w:rPr>
      </w:pPr>
    </w:p>
    <w:p w:rsidR="004F56FD" w:rsidRDefault="004F56FD" w:rsidP="001C7E0B">
      <w:pPr>
        <w:pStyle w:val="t"/>
        <w:rPr>
          <w:szCs w:val="20"/>
          <w:lang w:val="en-GB" w:bidi="he-IL"/>
        </w:rPr>
      </w:pPr>
      <w:r>
        <w:rPr>
          <w:rFonts w:hint="eastAsia"/>
          <w:szCs w:val="20"/>
          <w:lang w:val="en-GB" w:bidi="he-IL"/>
        </w:rPr>
        <w:t>To conduct the cost-benefit analysis, project</w:t>
      </w:r>
      <w:r w:rsidR="00027265">
        <w:rPr>
          <w:rFonts w:hint="eastAsia"/>
          <w:szCs w:val="20"/>
          <w:lang w:val="en-GB" w:bidi="he-IL"/>
        </w:rPr>
        <w:t xml:space="preserve"> costs should be converted into economic </w:t>
      </w:r>
      <w:r w:rsidR="00F32173">
        <w:rPr>
          <w:rFonts w:hint="eastAsia"/>
          <w:szCs w:val="20"/>
          <w:lang w:val="en-GB" w:bidi="he-IL"/>
        </w:rPr>
        <w:t>value</w:t>
      </w:r>
      <w:r w:rsidR="00027265">
        <w:rPr>
          <w:rFonts w:hint="eastAsia"/>
          <w:szCs w:val="20"/>
          <w:lang w:val="en-GB" w:bidi="he-IL"/>
        </w:rPr>
        <w:t>s with consideration of the exist</w:t>
      </w:r>
      <w:r w:rsidR="001220A4">
        <w:rPr>
          <w:szCs w:val="20"/>
          <w:lang w:val="en-GB" w:bidi="he-IL"/>
        </w:rPr>
        <w:t>ence</w:t>
      </w:r>
      <w:r w:rsidR="00027265">
        <w:rPr>
          <w:rFonts w:hint="eastAsia"/>
          <w:szCs w:val="20"/>
          <w:lang w:val="en-GB" w:bidi="he-IL"/>
        </w:rPr>
        <w:t xml:space="preserve"> of shadow rates such as minimum wages of unskilled labour. In this study, 0.95 was adopted as the standard conversion factor into the economic cost according to the final report of </w:t>
      </w:r>
      <w:r w:rsidR="00027265">
        <w:rPr>
          <w:szCs w:val="20"/>
          <w:lang w:val="en-GB" w:bidi="he-IL"/>
        </w:rPr>
        <w:t>“</w:t>
      </w:r>
      <w:r w:rsidR="00027265" w:rsidRPr="00027265">
        <w:rPr>
          <w:szCs w:val="20"/>
          <w:lang w:val="en-GB" w:bidi="he-IL"/>
        </w:rPr>
        <w:t>WAPP North Cor</w:t>
      </w:r>
      <w:r w:rsidR="00027265">
        <w:rPr>
          <w:rFonts w:hint="eastAsia"/>
          <w:szCs w:val="20"/>
          <w:lang w:val="en-GB" w:bidi="he-IL"/>
        </w:rPr>
        <w:t>e 3</w:t>
      </w:r>
      <w:r w:rsidR="00027265" w:rsidRPr="00027265">
        <w:rPr>
          <w:szCs w:val="20"/>
          <w:lang w:val="en-GB" w:bidi="he-IL"/>
        </w:rPr>
        <w:t>30 kV Proje</w:t>
      </w:r>
      <w:r w:rsidR="00027265">
        <w:rPr>
          <w:rFonts w:hint="eastAsia"/>
          <w:szCs w:val="20"/>
          <w:lang w:val="en-GB" w:bidi="he-IL"/>
        </w:rPr>
        <w:t>ct</w:t>
      </w:r>
      <w:r w:rsidR="00027265">
        <w:rPr>
          <w:szCs w:val="20"/>
          <w:lang w:val="en-GB" w:bidi="he-IL"/>
        </w:rPr>
        <w:t>”</w:t>
      </w:r>
      <w:r w:rsidR="00027265">
        <w:rPr>
          <w:rFonts w:hint="eastAsia"/>
          <w:szCs w:val="20"/>
          <w:lang w:val="en-GB" w:bidi="he-IL"/>
        </w:rPr>
        <w:t xml:space="preserve"> conducted by PHCN in 2007.</w:t>
      </w:r>
      <w:bookmarkStart w:id="11" w:name="_GoBack"/>
      <w:bookmarkEnd w:id="11"/>
    </w:p>
    <w:p w:rsidR="00027265" w:rsidRDefault="00027265" w:rsidP="000F1E04">
      <w:pPr>
        <w:pStyle w:val="Heading2"/>
        <w:rPr>
          <w:lang w:val="en-GB" w:bidi="he-IL"/>
        </w:rPr>
      </w:pPr>
      <w:bookmarkStart w:id="12" w:name="_Toc381199847"/>
      <w:r>
        <w:rPr>
          <w:rFonts w:hint="eastAsia"/>
          <w:lang w:val="en-GB" w:bidi="he-IL"/>
        </w:rPr>
        <w:t>O&amp;M Cost</w:t>
      </w:r>
      <w:bookmarkEnd w:id="12"/>
    </w:p>
    <w:p w:rsidR="00027265" w:rsidRDefault="00027265" w:rsidP="001C7E0B">
      <w:pPr>
        <w:pStyle w:val="t"/>
        <w:rPr>
          <w:szCs w:val="20"/>
          <w:lang w:val="en-GB" w:bidi="he-IL"/>
        </w:rPr>
      </w:pPr>
      <w:r>
        <w:rPr>
          <w:rFonts w:hint="eastAsia"/>
          <w:szCs w:val="20"/>
          <w:lang w:val="en-GB" w:bidi="he-IL"/>
        </w:rPr>
        <w:t xml:space="preserve">O&amp;M cost was settled as 1% of the initial investment cost for the transmission lines and 1.5% for the substations according to the report of </w:t>
      </w:r>
      <w:r>
        <w:rPr>
          <w:szCs w:val="20"/>
          <w:lang w:val="en-GB" w:bidi="he-IL"/>
        </w:rPr>
        <w:t>“</w:t>
      </w:r>
      <w:r w:rsidRPr="00027265">
        <w:rPr>
          <w:szCs w:val="20"/>
          <w:lang w:val="en-GB" w:bidi="he-IL"/>
        </w:rPr>
        <w:t>WAPP North Cor</w:t>
      </w:r>
      <w:r>
        <w:rPr>
          <w:rFonts w:hint="eastAsia"/>
          <w:szCs w:val="20"/>
          <w:lang w:val="en-GB" w:bidi="he-IL"/>
        </w:rPr>
        <w:t>e 3</w:t>
      </w:r>
      <w:r w:rsidRPr="00027265">
        <w:rPr>
          <w:szCs w:val="20"/>
          <w:lang w:val="en-GB" w:bidi="he-IL"/>
        </w:rPr>
        <w:t>30 kV Proje</w:t>
      </w:r>
      <w:r>
        <w:rPr>
          <w:rFonts w:hint="eastAsia"/>
          <w:szCs w:val="20"/>
          <w:lang w:val="en-GB" w:bidi="he-IL"/>
        </w:rPr>
        <w:t>ct</w:t>
      </w:r>
      <w:r>
        <w:rPr>
          <w:szCs w:val="20"/>
          <w:lang w:val="en-GB" w:bidi="he-IL"/>
        </w:rPr>
        <w:t>”</w:t>
      </w:r>
      <w:r>
        <w:rPr>
          <w:rFonts w:hint="eastAsia"/>
          <w:szCs w:val="20"/>
          <w:lang w:val="en-GB" w:bidi="he-IL"/>
        </w:rPr>
        <w:t>.</w:t>
      </w:r>
    </w:p>
    <w:p w:rsidR="00A966EB" w:rsidRDefault="00A966EB" w:rsidP="00A40DFC">
      <w:pPr>
        <w:pStyle w:val="Heading1"/>
      </w:pPr>
      <w:bookmarkStart w:id="13" w:name="_Toc381199848"/>
      <w:r w:rsidRPr="00A966EB">
        <w:t>Benefit-Cost Analysis</w:t>
      </w:r>
      <w:r w:rsidR="0043551B">
        <w:t xml:space="preserve"> Results</w:t>
      </w:r>
      <w:bookmarkEnd w:id="13"/>
    </w:p>
    <w:p w:rsidR="0043551B" w:rsidRDefault="0043551B" w:rsidP="0043551B">
      <w:pPr>
        <w:pStyle w:val="Heading2"/>
        <w:rPr>
          <w:lang w:val="en-GB"/>
        </w:rPr>
      </w:pPr>
      <w:r>
        <w:rPr>
          <w:lang w:val="en-GB"/>
        </w:rPr>
        <w:t>General Assumptions</w:t>
      </w:r>
    </w:p>
    <w:p w:rsidR="0043551B" w:rsidRDefault="0043551B" w:rsidP="0043551B">
      <w:pPr>
        <w:pStyle w:val="t"/>
        <w:rPr>
          <w:lang w:val="en-GB"/>
        </w:rPr>
      </w:pPr>
      <w:r w:rsidRPr="008F5622">
        <w:rPr>
          <w:rFonts w:hint="eastAsia"/>
          <w:lang w:val="en-GB"/>
        </w:rPr>
        <w:t>General assumptions of the analysis are presented as follows.</w:t>
      </w:r>
    </w:p>
    <w:p w:rsidR="00A966EB" w:rsidRPr="00A966EB" w:rsidRDefault="00A966EB" w:rsidP="0043551B">
      <w:pPr>
        <w:pStyle w:val="t"/>
        <w:keepNext/>
        <w:spacing w:after="120"/>
        <w:jc w:val="center"/>
        <w:rPr>
          <w:szCs w:val="20"/>
          <w:lang w:val="en-GB" w:bidi="he-IL"/>
        </w:rPr>
      </w:pPr>
      <w:r w:rsidRPr="004B647E">
        <w:rPr>
          <w:rFonts w:hint="eastAsia"/>
          <w:b/>
          <w:szCs w:val="20"/>
          <w:lang w:val="en-GB" w:bidi="he-IL"/>
        </w:rPr>
        <w:lastRenderedPageBreak/>
        <w:t xml:space="preserve">Table </w:t>
      </w:r>
      <w:proofErr w:type="gramStart"/>
      <w:r w:rsidR="00552336">
        <w:rPr>
          <w:rFonts w:hint="eastAsia"/>
          <w:b/>
          <w:szCs w:val="20"/>
          <w:lang w:val="en-GB" w:bidi="he-IL"/>
        </w:rPr>
        <w:t xml:space="preserve">7 </w:t>
      </w:r>
      <w:r w:rsidRPr="004B647E">
        <w:rPr>
          <w:rFonts w:hint="eastAsia"/>
          <w:b/>
          <w:szCs w:val="20"/>
          <w:lang w:val="en-GB" w:bidi="he-IL"/>
        </w:rPr>
        <w:t xml:space="preserve"> </w:t>
      </w:r>
      <w:r w:rsidR="001220A4">
        <w:rPr>
          <w:b/>
          <w:szCs w:val="20"/>
          <w:lang w:val="en-GB" w:bidi="he-IL"/>
        </w:rPr>
        <w:t>General</w:t>
      </w:r>
      <w:proofErr w:type="gramEnd"/>
      <w:r w:rsidR="001220A4">
        <w:rPr>
          <w:b/>
          <w:szCs w:val="20"/>
          <w:lang w:val="en-GB" w:bidi="he-IL"/>
        </w:rPr>
        <w:t xml:space="preserve"> Assumptions for Economic Analysis</w:t>
      </w:r>
    </w:p>
    <w:tbl>
      <w:tblPr>
        <w:tblStyle w:val="TableGrid"/>
        <w:tblW w:w="0" w:type="auto"/>
        <w:jc w:val="center"/>
        <w:tblLook w:val="04A0"/>
      </w:tblPr>
      <w:tblGrid>
        <w:gridCol w:w="2660"/>
        <w:gridCol w:w="5953"/>
      </w:tblGrid>
      <w:tr w:rsidR="00C107B8" w:rsidTr="001220A4">
        <w:trPr>
          <w:jc w:val="center"/>
        </w:trPr>
        <w:tc>
          <w:tcPr>
            <w:tcW w:w="2660" w:type="dxa"/>
          </w:tcPr>
          <w:p w:rsidR="00C107B8" w:rsidRPr="00C107B8" w:rsidRDefault="00C107B8" w:rsidP="0043551B">
            <w:pPr>
              <w:pStyle w:val="t"/>
              <w:keepNext/>
              <w:spacing w:before="40" w:after="40"/>
              <w:rPr>
                <w:b/>
                <w:lang w:val="en-GB"/>
              </w:rPr>
            </w:pPr>
            <w:r w:rsidRPr="00C107B8">
              <w:rPr>
                <w:rFonts w:hint="eastAsia"/>
                <w:b/>
                <w:lang w:val="en-GB"/>
              </w:rPr>
              <w:t>Element</w:t>
            </w:r>
          </w:p>
        </w:tc>
        <w:tc>
          <w:tcPr>
            <w:tcW w:w="5953" w:type="dxa"/>
          </w:tcPr>
          <w:p w:rsidR="00C107B8" w:rsidRPr="00C107B8" w:rsidRDefault="00C107B8" w:rsidP="0043551B">
            <w:pPr>
              <w:pStyle w:val="t"/>
              <w:keepNext/>
              <w:spacing w:before="40" w:after="40"/>
              <w:rPr>
                <w:b/>
                <w:lang w:val="en-GB"/>
              </w:rPr>
            </w:pPr>
            <w:r w:rsidRPr="00C107B8">
              <w:rPr>
                <w:rFonts w:hint="eastAsia"/>
                <w:b/>
                <w:lang w:val="en-GB"/>
              </w:rPr>
              <w:t>Value</w:t>
            </w:r>
          </w:p>
        </w:tc>
      </w:tr>
      <w:tr w:rsidR="00A966EB" w:rsidTr="001220A4">
        <w:trPr>
          <w:jc w:val="center"/>
        </w:trPr>
        <w:tc>
          <w:tcPr>
            <w:tcW w:w="2660" w:type="dxa"/>
          </w:tcPr>
          <w:p w:rsidR="00A966EB" w:rsidRDefault="00A966EB" w:rsidP="0043551B">
            <w:pPr>
              <w:pStyle w:val="t"/>
              <w:keepNext/>
              <w:spacing w:before="40" w:after="40"/>
              <w:rPr>
                <w:lang w:val="en-GB"/>
              </w:rPr>
            </w:pPr>
            <w:r>
              <w:rPr>
                <w:rFonts w:hint="eastAsia"/>
                <w:lang w:val="en-GB"/>
              </w:rPr>
              <w:t>Analysis Period</w:t>
            </w:r>
          </w:p>
        </w:tc>
        <w:tc>
          <w:tcPr>
            <w:tcW w:w="5953" w:type="dxa"/>
          </w:tcPr>
          <w:p w:rsidR="00A966EB" w:rsidRDefault="00A966EB" w:rsidP="0043551B">
            <w:pPr>
              <w:pStyle w:val="t"/>
              <w:keepNext/>
              <w:spacing w:before="40" w:after="40"/>
              <w:rPr>
                <w:lang w:val="en-GB"/>
              </w:rPr>
            </w:pPr>
            <w:r>
              <w:rPr>
                <w:rFonts w:hint="eastAsia"/>
                <w:lang w:val="en-GB"/>
              </w:rPr>
              <w:t>2017–2046 (30 years)</w:t>
            </w:r>
          </w:p>
        </w:tc>
      </w:tr>
      <w:tr w:rsidR="00A966EB" w:rsidTr="001220A4">
        <w:trPr>
          <w:jc w:val="center"/>
        </w:trPr>
        <w:tc>
          <w:tcPr>
            <w:tcW w:w="2660" w:type="dxa"/>
          </w:tcPr>
          <w:p w:rsidR="00A966EB" w:rsidRDefault="00A966EB" w:rsidP="0043551B">
            <w:pPr>
              <w:pStyle w:val="t"/>
              <w:keepNext/>
              <w:spacing w:before="40" w:after="40"/>
              <w:rPr>
                <w:lang w:val="en-GB"/>
              </w:rPr>
            </w:pPr>
            <w:r>
              <w:rPr>
                <w:rFonts w:hint="eastAsia"/>
                <w:lang w:val="en-GB"/>
              </w:rPr>
              <w:t>Construction Period</w:t>
            </w:r>
          </w:p>
        </w:tc>
        <w:tc>
          <w:tcPr>
            <w:tcW w:w="5953" w:type="dxa"/>
          </w:tcPr>
          <w:p w:rsidR="00A966EB" w:rsidRDefault="00A966EB" w:rsidP="0043551B">
            <w:pPr>
              <w:pStyle w:val="t"/>
              <w:keepNext/>
              <w:spacing w:before="40" w:after="40"/>
              <w:rPr>
                <w:lang w:val="en-GB"/>
              </w:rPr>
            </w:pPr>
            <w:r>
              <w:rPr>
                <w:rFonts w:hint="eastAsia"/>
                <w:lang w:val="en-GB"/>
              </w:rPr>
              <w:t>2014–2016 (3 years)</w:t>
            </w:r>
          </w:p>
          <w:p w:rsidR="00A966EB" w:rsidRDefault="00A966EB" w:rsidP="0043551B">
            <w:pPr>
              <w:pStyle w:val="t"/>
              <w:keepNext/>
              <w:spacing w:before="40" w:after="40"/>
              <w:rPr>
                <w:lang w:val="en-GB"/>
              </w:rPr>
            </w:pPr>
            <w:r>
              <w:rPr>
                <w:rFonts w:hint="eastAsia"/>
                <w:lang w:val="en-GB"/>
              </w:rPr>
              <w:t>Initial investment costs were allocated 70% for the 1</w:t>
            </w:r>
            <w:r w:rsidRPr="00A966EB">
              <w:rPr>
                <w:rFonts w:hint="eastAsia"/>
                <w:vertAlign w:val="superscript"/>
                <w:lang w:val="en-GB"/>
              </w:rPr>
              <w:t>st</w:t>
            </w:r>
            <w:r>
              <w:rPr>
                <w:rFonts w:hint="eastAsia"/>
                <w:lang w:val="en-GB"/>
              </w:rPr>
              <w:t xml:space="preserve"> year of construction, 20% for the 2</w:t>
            </w:r>
            <w:r w:rsidRPr="00A966EB">
              <w:rPr>
                <w:rFonts w:hint="eastAsia"/>
                <w:vertAlign w:val="superscript"/>
                <w:lang w:val="en-GB"/>
              </w:rPr>
              <w:t>nd</w:t>
            </w:r>
            <w:r>
              <w:rPr>
                <w:rFonts w:hint="eastAsia"/>
                <w:lang w:val="en-GB"/>
              </w:rPr>
              <w:t xml:space="preserve"> year, </w:t>
            </w:r>
            <w:proofErr w:type="gramStart"/>
            <w:r>
              <w:rPr>
                <w:rFonts w:hint="eastAsia"/>
                <w:lang w:val="en-GB"/>
              </w:rPr>
              <w:t>10</w:t>
            </w:r>
            <w:proofErr w:type="gramEnd"/>
            <w:r>
              <w:rPr>
                <w:rFonts w:hint="eastAsia"/>
                <w:lang w:val="en-GB"/>
              </w:rPr>
              <w:t>% for the 3</w:t>
            </w:r>
            <w:r w:rsidRPr="00A966EB">
              <w:rPr>
                <w:rFonts w:hint="eastAsia"/>
                <w:vertAlign w:val="superscript"/>
                <w:lang w:val="en-GB"/>
              </w:rPr>
              <w:t>rd</w:t>
            </w:r>
            <w:r>
              <w:rPr>
                <w:rFonts w:hint="eastAsia"/>
                <w:lang w:val="en-GB"/>
              </w:rPr>
              <w:t xml:space="preserve"> year.</w:t>
            </w:r>
          </w:p>
        </w:tc>
      </w:tr>
      <w:tr w:rsidR="00A966EB" w:rsidTr="001220A4">
        <w:trPr>
          <w:jc w:val="center"/>
        </w:trPr>
        <w:tc>
          <w:tcPr>
            <w:tcW w:w="2660" w:type="dxa"/>
          </w:tcPr>
          <w:p w:rsidR="00A966EB" w:rsidRDefault="00A966EB" w:rsidP="0043551B">
            <w:pPr>
              <w:pStyle w:val="t"/>
              <w:keepNext/>
              <w:spacing w:before="40" w:after="40"/>
              <w:rPr>
                <w:lang w:val="en-GB"/>
              </w:rPr>
            </w:pPr>
            <w:r>
              <w:rPr>
                <w:rFonts w:hint="eastAsia"/>
                <w:lang w:val="en-GB"/>
              </w:rPr>
              <w:t>Residual Value</w:t>
            </w:r>
          </w:p>
        </w:tc>
        <w:tc>
          <w:tcPr>
            <w:tcW w:w="5953" w:type="dxa"/>
          </w:tcPr>
          <w:p w:rsidR="00A966EB" w:rsidRDefault="00A966EB" w:rsidP="0043551B">
            <w:pPr>
              <w:pStyle w:val="t"/>
              <w:keepNext/>
              <w:spacing w:before="40" w:after="40"/>
              <w:rPr>
                <w:lang w:val="en-GB"/>
              </w:rPr>
            </w:pPr>
            <w:r>
              <w:rPr>
                <w:rFonts w:hint="eastAsia"/>
                <w:lang w:val="en-GB"/>
              </w:rPr>
              <w:t>10% of construction cost</w:t>
            </w:r>
          </w:p>
        </w:tc>
      </w:tr>
      <w:tr w:rsidR="00A966EB" w:rsidTr="001220A4">
        <w:trPr>
          <w:jc w:val="center"/>
        </w:trPr>
        <w:tc>
          <w:tcPr>
            <w:tcW w:w="2660" w:type="dxa"/>
          </w:tcPr>
          <w:p w:rsidR="00A966EB" w:rsidRDefault="00A966EB" w:rsidP="0043551B">
            <w:pPr>
              <w:pStyle w:val="t"/>
              <w:keepNext/>
              <w:spacing w:before="40" w:after="40"/>
              <w:rPr>
                <w:lang w:val="en-GB"/>
              </w:rPr>
            </w:pPr>
            <w:r>
              <w:rPr>
                <w:rFonts w:hint="eastAsia"/>
                <w:szCs w:val="20"/>
                <w:lang w:val="en-GB" w:bidi="he-IL"/>
              </w:rPr>
              <w:t>Discount rate to evaluate E</w:t>
            </w:r>
            <w:r w:rsidRPr="00877708">
              <w:rPr>
                <w:rFonts w:hint="eastAsia"/>
                <w:szCs w:val="20"/>
                <w:lang w:val="en-GB" w:bidi="he-IL"/>
              </w:rPr>
              <w:t xml:space="preserve">NPV </w:t>
            </w:r>
            <w:r>
              <w:rPr>
                <w:rFonts w:hint="eastAsia"/>
                <w:szCs w:val="20"/>
                <w:lang w:val="en-GB" w:bidi="he-IL"/>
              </w:rPr>
              <w:t xml:space="preserve">and </w:t>
            </w:r>
            <w:r w:rsidRPr="00877708">
              <w:rPr>
                <w:szCs w:val="20"/>
                <w:lang w:val="en-GB" w:bidi="he-IL"/>
              </w:rPr>
              <w:t>B/C</w:t>
            </w:r>
          </w:p>
        </w:tc>
        <w:tc>
          <w:tcPr>
            <w:tcW w:w="5953" w:type="dxa"/>
          </w:tcPr>
          <w:p w:rsidR="00A966EB" w:rsidRDefault="00A966EB" w:rsidP="0043551B">
            <w:pPr>
              <w:pStyle w:val="t"/>
              <w:keepNext/>
              <w:spacing w:before="40" w:after="40"/>
              <w:rPr>
                <w:szCs w:val="20"/>
                <w:lang w:val="en-GB" w:bidi="he-IL"/>
              </w:rPr>
            </w:pPr>
            <w:r>
              <w:rPr>
                <w:rFonts w:hint="eastAsia"/>
                <w:szCs w:val="20"/>
                <w:lang w:val="en-GB" w:bidi="he-IL"/>
              </w:rPr>
              <w:t>12%</w:t>
            </w:r>
          </w:p>
          <w:p w:rsidR="00A966EB" w:rsidRDefault="00A966EB" w:rsidP="001220A4">
            <w:pPr>
              <w:pStyle w:val="t"/>
              <w:keepNext/>
              <w:spacing w:before="40" w:after="40"/>
              <w:rPr>
                <w:lang w:val="en-GB"/>
              </w:rPr>
            </w:pPr>
            <w:r>
              <w:rPr>
                <w:rFonts w:hint="eastAsia"/>
                <w:szCs w:val="20"/>
                <w:lang w:val="en-GB" w:bidi="he-IL"/>
              </w:rPr>
              <w:t xml:space="preserve">(settled with </w:t>
            </w:r>
            <w:r>
              <w:rPr>
                <w:szCs w:val="20"/>
                <w:lang w:val="en-GB" w:bidi="he-IL"/>
              </w:rPr>
              <w:t>reference</w:t>
            </w:r>
            <w:r>
              <w:rPr>
                <w:rFonts w:hint="eastAsia"/>
                <w:szCs w:val="20"/>
                <w:lang w:val="en-GB" w:bidi="he-IL"/>
              </w:rPr>
              <w:t xml:space="preserve"> to the </w:t>
            </w:r>
            <w:r>
              <w:rPr>
                <w:szCs w:val="20"/>
                <w:lang w:val="en-GB" w:bidi="he-IL"/>
              </w:rPr>
              <w:t>monetary</w:t>
            </w:r>
            <w:r>
              <w:rPr>
                <w:rFonts w:hint="eastAsia"/>
                <w:szCs w:val="20"/>
                <w:lang w:val="en-GB" w:bidi="he-IL"/>
              </w:rPr>
              <w:t xml:space="preserve"> policy rate of </w:t>
            </w:r>
            <w:r w:rsidR="001220A4">
              <w:rPr>
                <w:szCs w:val="20"/>
                <w:lang w:val="en-GB" w:bidi="he-IL"/>
              </w:rPr>
              <w:t>FGN</w:t>
            </w:r>
            <w:r>
              <w:rPr>
                <w:rFonts w:hint="eastAsia"/>
                <w:szCs w:val="20"/>
                <w:lang w:val="en-GB" w:bidi="he-IL"/>
              </w:rPr>
              <w:t xml:space="preserve"> and previous studies carried by TCN)</w:t>
            </w:r>
          </w:p>
        </w:tc>
      </w:tr>
      <w:tr w:rsidR="00A966EB" w:rsidTr="001220A4">
        <w:trPr>
          <w:jc w:val="center"/>
        </w:trPr>
        <w:tc>
          <w:tcPr>
            <w:tcW w:w="2660" w:type="dxa"/>
          </w:tcPr>
          <w:p w:rsidR="00A966EB" w:rsidRDefault="00A966EB" w:rsidP="0043551B">
            <w:pPr>
              <w:pStyle w:val="t"/>
              <w:spacing w:before="40" w:after="40"/>
              <w:rPr>
                <w:lang w:val="en-GB"/>
              </w:rPr>
            </w:pPr>
            <w:r>
              <w:rPr>
                <w:rFonts w:hint="eastAsia"/>
                <w:lang w:val="en-GB"/>
              </w:rPr>
              <w:t>Exchange Rate</w:t>
            </w:r>
          </w:p>
        </w:tc>
        <w:tc>
          <w:tcPr>
            <w:tcW w:w="5953" w:type="dxa"/>
          </w:tcPr>
          <w:p w:rsidR="00A966EB" w:rsidRDefault="00A966EB" w:rsidP="0043551B">
            <w:pPr>
              <w:pStyle w:val="t"/>
              <w:spacing w:before="40" w:after="40"/>
              <w:rPr>
                <w:lang w:val="en-GB"/>
              </w:rPr>
            </w:pPr>
            <w:r>
              <w:rPr>
                <w:rFonts w:hint="eastAsia"/>
                <w:szCs w:val="20"/>
                <w:lang w:val="en-GB" w:bidi="he-IL"/>
              </w:rPr>
              <w:t xml:space="preserve">1 USD = </w:t>
            </w:r>
            <w:r w:rsidRPr="00A46DEA">
              <w:rPr>
                <w:szCs w:val="20"/>
                <w:lang w:val="en-GB" w:bidi="he-IL"/>
              </w:rPr>
              <w:t>158.228</w:t>
            </w:r>
            <w:r>
              <w:rPr>
                <w:rFonts w:hint="eastAsia"/>
                <w:szCs w:val="20"/>
                <w:lang w:val="en-GB" w:bidi="he-IL"/>
              </w:rPr>
              <w:t xml:space="preserve"> NGN</w:t>
            </w:r>
          </w:p>
        </w:tc>
      </w:tr>
    </w:tbl>
    <w:p w:rsidR="0043551B" w:rsidRDefault="0043551B" w:rsidP="0043551B">
      <w:pPr>
        <w:pStyle w:val="t"/>
        <w:rPr>
          <w:lang w:val="en-GB" w:bidi="he-IL"/>
        </w:rPr>
      </w:pPr>
    </w:p>
    <w:p w:rsidR="0043551B" w:rsidRDefault="0043551B" w:rsidP="0043551B">
      <w:pPr>
        <w:pStyle w:val="Heading2"/>
        <w:rPr>
          <w:lang w:val="en-GB" w:bidi="he-IL"/>
        </w:rPr>
      </w:pPr>
      <w:r>
        <w:rPr>
          <w:lang w:val="en-GB" w:bidi="he-IL"/>
        </w:rPr>
        <w:t>Benefit Cost Results</w:t>
      </w:r>
    </w:p>
    <w:p w:rsidR="00251E3E" w:rsidRPr="00251E3E" w:rsidRDefault="00251E3E" w:rsidP="001C7E0B">
      <w:pPr>
        <w:pStyle w:val="t"/>
        <w:rPr>
          <w:szCs w:val="20"/>
          <w:lang w:val="en-GB" w:bidi="he-IL"/>
        </w:rPr>
      </w:pPr>
      <w:r>
        <w:rPr>
          <w:rFonts w:hint="eastAsia"/>
          <w:szCs w:val="20"/>
          <w:lang w:val="en-GB" w:bidi="he-IL"/>
        </w:rPr>
        <w:t>Results of benefit-cost assessment are presented in the following table.</w:t>
      </w:r>
    </w:p>
    <w:p w:rsidR="00251E3E" w:rsidRPr="00251E3E" w:rsidRDefault="00251E3E" w:rsidP="00C341B0">
      <w:pPr>
        <w:pStyle w:val="t"/>
        <w:keepNext/>
        <w:spacing w:after="120"/>
        <w:jc w:val="center"/>
        <w:rPr>
          <w:b/>
          <w:szCs w:val="20"/>
          <w:lang w:val="en-GB" w:bidi="he-IL"/>
        </w:rPr>
      </w:pPr>
      <w:r w:rsidRPr="00251E3E">
        <w:rPr>
          <w:b/>
          <w:szCs w:val="20"/>
          <w:lang w:val="en-GB" w:bidi="he-IL"/>
        </w:rPr>
        <w:t xml:space="preserve">Table </w:t>
      </w:r>
      <w:proofErr w:type="gramStart"/>
      <w:r w:rsidR="00552336">
        <w:rPr>
          <w:rFonts w:hint="eastAsia"/>
          <w:b/>
          <w:szCs w:val="20"/>
          <w:lang w:val="en-GB" w:bidi="he-IL"/>
        </w:rPr>
        <w:t>8</w:t>
      </w:r>
      <w:r w:rsidR="00642CF0">
        <w:rPr>
          <w:rFonts w:hint="eastAsia"/>
          <w:b/>
          <w:szCs w:val="20"/>
          <w:lang w:val="en-GB" w:bidi="he-IL"/>
        </w:rPr>
        <w:t xml:space="preserve"> </w:t>
      </w:r>
      <w:r w:rsidRPr="00251E3E">
        <w:rPr>
          <w:b/>
          <w:szCs w:val="20"/>
          <w:lang w:val="en-GB" w:bidi="he-IL"/>
        </w:rPr>
        <w:t xml:space="preserve"> </w:t>
      </w:r>
      <w:r>
        <w:rPr>
          <w:rFonts w:hint="eastAsia"/>
          <w:b/>
          <w:szCs w:val="20"/>
          <w:lang w:val="en-GB" w:bidi="he-IL"/>
        </w:rPr>
        <w:t>Results</w:t>
      </w:r>
      <w:proofErr w:type="gramEnd"/>
      <w:r>
        <w:rPr>
          <w:rFonts w:hint="eastAsia"/>
          <w:b/>
          <w:szCs w:val="20"/>
          <w:lang w:val="en-GB" w:bidi="he-IL"/>
        </w:rPr>
        <w:t xml:space="preserve"> of Benefit-Cost Assessment</w:t>
      </w:r>
    </w:p>
    <w:tbl>
      <w:tblPr>
        <w:tblW w:w="7080" w:type="dxa"/>
        <w:jc w:val="center"/>
        <w:tblInd w:w="84" w:type="dxa"/>
        <w:tblCellMar>
          <w:left w:w="99" w:type="dxa"/>
          <w:right w:w="99" w:type="dxa"/>
        </w:tblCellMar>
        <w:tblLook w:val="04A0"/>
      </w:tblPr>
      <w:tblGrid>
        <w:gridCol w:w="1300"/>
        <w:gridCol w:w="1300"/>
        <w:gridCol w:w="1880"/>
        <w:gridCol w:w="1300"/>
        <w:gridCol w:w="1300"/>
      </w:tblGrid>
      <w:tr w:rsidR="002540F2" w:rsidRPr="002540F2" w:rsidTr="00251E3E">
        <w:trPr>
          <w:trHeight w:val="270"/>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40F2" w:rsidRPr="002540F2" w:rsidRDefault="002540F2" w:rsidP="00C341B0">
            <w:pPr>
              <w:pStyle w:val="t"/>
              <w:keepNext/>
              <w:spacing w:before="40" w:after="40"/>
              <w:rPr>
                <w:rFonts w:eastAsia="MS PGothic"/>
                <w:color w:val="000000"/>
              </w:rPr>
            </w:pPr>
            <w:r w:rsidRPr="002540F2">
              <w:rPr>
                <w:rFonts w:eastAsia="MS PGothic"/>
                <w:color w:val="000000"/>
              </w:rPr>
              <w:t>Group</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b/>
                <w:color w:val="000000"/>
              </w:rPr>
            </w:pPr>
            <w:r w:rsidRPr="002540F2">
              <w:rPr>
                <w:rFonts w:eastAsia="MS PGothic"/>
                <w:b/>
                <w:color w:val="000000"/>
              </w:rPr>
              <w:t>EIRR</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b/>
                <w:color w:val="000000"/>
              </w:rPr>
            </w:pPr>
            <w:r w:rsidRPr="002540F2">
              <w:rPr>
                <w:rFonts w:eastAsia="MS PGothic"/>
                <w:b/>
                <w:color w:val="000000"/>
              </w:rPr>
              <w:t>ENPV</w:t>
            </w:r>
          </w:p>
          <w:p w:rsidR="002540F2" w:rsidRPr="002540F2" w:rsidRDefault="002540F2" w:rsidP="001220A4">
            <w:pPr>
              <w:pStyle w:val="t"/>
              <w:keepNext/>
              <w:spacing w:before="40" w:after="40"/>
              <w:jc w:val="center"/>
              <w:rPr>
                <w:rFonts w:eastAsia="MS PGothic"/>
                <w:b/>
                <w:color w:val="000000"/>
              </w:rPr>
            </w:pPr>
            <w:r w:rsidRPr="002540F2">
              <w:rPr>
                <w:rFonts w:eastAsia="MS PGothic" w:hint="eastAsia"/>
                <w:b/>
                <w:color w:val="000000"/>
              </w:rPr>
              <w:t>(million USD)</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b/>
                <w:color w:val="000000"/>
              </w:rPr>
            </w:pPr>
            <w:r w:rsidRPr="002540F2">
              <w:rPr>
                <w:rFonts w:eastAsia="MS PGothic"/>
                <w:b/>
                <w:color w:val="000000"/>
              </w:rPr>
              <w:t>B/C</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b/>
                <w:color w:val="000000"/>
              </w:rPr>
            </w:pPr>
            <w:r w:rsidRPr="002540F2">
              <w:rPr>
                <w:rFonts w:eastAsia="MS PGothic"/>
                <w:b/>
                <w:color w:val="000000"/>
              </w:rPr>
              <w:t>ENPV/C</w:t>
            </w:r>
          </w:p>
        </w:tc>
      </w:tr>
      <w:tr w:rsidR="002540F2" w:rsidRPr="002540F2" w:rsidTr="00251E3E">
        <w:trPr>
          <w:trHeight w:val="27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2540F2" w:rsidRPr="004B647E" w:rsidRDefault="002540F2" w:rsidP="00C341B0">
            <w:pPr>
              <w:pStyle w:val="t"/>
              <w:keepNext/>
              <w:spacing w:before="40" w:after="40"/>
              <w:rPr>
                <w:szCs w:val="20"/>
                <w:lang w:bidi="he-IL"/>
              </w:rPr>
            </w:pPr>
            <w:r w:rsidRPr="004B647E">
              <w:rPr>
                <w:rFonts w:hint="eastAsia"/>
                <w:szCs w:val="20"/>
                <w:lang w:bidi="he-IL"/>
              </w:rPr>
              <w:t>Group-1</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23.94%</w:t>
            </w:r>
          </w:p>
        </w:tc>
        <w:tc>
          <w:tcPr>
            <w:tcW w:w="188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637</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2.35</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1.35</w:t>
            </w:r>
          </w:p>
        </w:tc>
      </w:tr>
      <w:tr w:rsidR="002540F2" w:rsidRPr="002540F2" w:rsidTr="00251E3E">
        <w:trPr>
          <w:trHeight w:val="27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2540F2" w:rsidRPr="004B647E" w:rsidRDefault="002540F2" w:rsidP="00C341B0">
            <w:pPr>
              <w:pStyle w:val="t"/>
              <w:keepNext/>
              <w:spacing w:before="40" w:after="40"/>
              <w:rPr>
                <w:szCs w:val="20"/>
                <w:lang w:bidi="he-IL"/>
              </w:rPr>
            </w:pPr>
            <w:r w:rsidRPr="004B647E">
              <w:rPr>
                <w:rFonts w:hint="eastAsia"/>
                <w:szCs w:val="20"/>
                <w:lang w:bidi="he-IL"/>
              </w:rPr>
              <w:t>Group-2</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37.92%</w:t>
            </w:r>
          </w:p>
        </w:tc>
        <w:tc>
          <w:tcPr>
            <w:tcW w:w="188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229</w:t>
            </w:r>
            <w:r>
              <w:rPr>
                <w:rFonts w:eastAsia="MS PGothic" w:hint="eastAsia"/>
                <w:color w:val="000000"/>
              </w:rPr>
              <w:t>3</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5.07</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4.07</w:t>
            </w:r>
          </w:p>
        </w:tc>
      </w:tr>
      <w:tr w:rsidR="002540F2" w:rsidRPr="002540F2" w:rsidTr="00251E3E">
        <w:trPr>
          <w:trHeight w:val="27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2540F2" w:rsidRPr="004B647E" w:rsidRDefault="002540F2" w:rsidP="00C341B0">
            <w:pPr>
              <w:pStyle w:val="t"/>
              <w:keepNext/>
              <w:spacing w:before="40" w:after="40"/>
              <w:rPr>
                <w:szCs w:val="20"/>
                <w:lang w:bidi="he-IL"/>
              </w:rPr>
            </w:pPr>
            <w:r w:rsidRPr="004B647E">
              <w:rPr>
                <w:rFonts w:hint="eastAsia"/>
                <w:szCs w:val="20"/>
                <w:lang w:bidi="he-IL"/>
              </w:rPr>
              <w:t>Group-3</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20.92%</w:t>
            </w:r>
          </w:p>
        </w:tc>
        <w:tc>
          <w:tcPr>
            <w:tcW w:w="188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261</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2.03</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1.03</w:t>
            </w:r>
          </w:p>
        </w:tc>
      </w:tr>
      <w:tr w:rsidR="002540F2" w:rsidRPr="002540F2" w:rsidTr="00251E3E">
        <w:trPr>
          <w:trHeight w:val="27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2540F2" w:rsidRPr="004B647E" w:rsidRDefault="002540F2" w:rsidP="00C341B0">
            <w:pPr>
              <w:pStyle w:val="t"/>
              <w:keepNext/>
              <w:spacing w:before="40" w:after="40"/>
              <w:rPr>
                <w:szCs w:val="20"/>
                <w:lang w:bidi="he-IL"/>
              </w:rPr>
            </w:pPr>
            <w:r w:rsidRPr="004B647E">
              <w:rPr>
                <w:rFonts w:hint="eastAsia"/>
                <w:szCs w:val="20"/>
                <w:lang w:bidi="he-IL"/>
              </w:rPr>
              <w:t>Group-4</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16.36%</w:t>
            </w:r>
          </w:p>
        </w:tc>
        <w:tc>
          <w:tcPr>
            <w:tcW w:w="188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29</w:t>
            </w:r>
            <w:r>
              <w:rPr>
                <w:rFonts w:eastAsia="MS PGothic" w:hint="eastAsia"/>
                <w:color w:val="000000"/>
              </w:rPr>
              <w:t>9</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1.47</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keepNext/>
              <w:spacing w:before="40" w:after="40"/>
              <w:jc w:val="center"/>
              <w:rPr>
                <w:rFonts w:eastAsia="MS PGothic"/>
                <w:color w:val="000000"/>
              </w:rPr>
            </w:pPr>
            <w:r w:rsidRPr="002540F2">
              <w:rPr>
                <w:rFonts w:eastAsia="MS PGothic"/>
                <w:color w:val="000000"/>
              </w:rPr>
              <w:t>0.47</w:t>
            </w:r>
          </w:p>
        </w:tc>
      </w:tr>
      <w:tr w:rsidR="002540F2" w:rsidRPr="002540F2" w:rsidTr="00251E3E">
        <w:trPr>
          <w:trHeight w:val="270"/>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2540F2" w:rsidRPr="004B647E" w:rsidRDefault="002540F2" w:rsidP="0043551B">
            <w:pPr>
              <w:pStyle w:val="t"/>
              <w:spacing w:before="40" w:after="40"/>
              <w:rPr>
                <w:szCs w:val="20"/>
                <w:lang w:bidi="he-IL"/>
              </w:rPr>
            </w:pPr>
            <w:r w:rsidRPr="004B647E">
              <w:rPr>
                <w:rFonts w:hint="eastAsia"/>
                <w:szCs w:val="20"/>
                <w:lang w:bidi="he-IL"/>
              </w:rPr>
              <w:t>Group-5</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spacing w:before="40" w:after="40"/>
              <w:jc w:val="center"/>
              <w:rPr>
                <w:rFonts w:eastAsia="MS PGothic"/>
                <w:color w:val="000000"/>
              </w:rPr>
            </w:pPr>
            <w:r w:rsidRPr="002540F2">
              <w:rPr>
                <w:rFonts w:eastAsia="MS PGothic"/>
                <w:color w:val="000000"/>
              </w:rPr>
              <w:t>17.60%</w:t>
            </w:r>
          </w:p>
        </w:tc>
        <w:tc>
          <w:tcPr>
            <w:tcW w:w="188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spacing w:before="40" w:after="40"/>
              <w:jc w:val="center"/>
              <w:rPr>
                <w:rFonts w:eastAsia="MS PGothic"/>
                <w:color w:val="000000"/>
              </w:rPr>
            </w:pPr>
            <w:r w:rsidRPr="002540F2">
              <w:rPr>
                <w:rFonts w:eastAsia="MS PGothic"/>
                <w:color w:val="000000"/>
              </w:rPr>
              <w:t>245</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spacing w:before="40" w:after="40"/>
              <w:jc w:val="center"/>
              <w:rPr>
                <w:rFonts w:eastAsia="MS PGothic"/>
                <w:color w:val="000000"/>
              </w:rPr>
            </w:pPr>
            <w:r w:rsidRPr="002540F2">
              <w:rPr>
                <w:rFonts w:eastAsia="MS PGothic"/>
                <w:color w:val="000000"/>
              </w:rPr>
              <w:t>1.62</w:t>
            </w:r>
          </w:p>
        </w:tc>
        <w:tc>
          <w:tcPr>
            <w:tcW w:w="1300" w:type="dxa"/>
            <w:tcBorders>
              <w:top w:val="nil"/>
              <w:left w:val="nil"/>
              <w:bottom w:val="single" w:sz="4" w:space="0" w:color="auto"/>
              <w:right w:val="single" w:sz="4" w:space="0" w:color="auto"/>
            </w:tcBorders>
            <w:shd w:val="clear" w:color="auto" w:fill="auto"/>
            <w:noWrap/>
            <w:vAlign w:val="center"/>
            <w:hideMark/>
          </w:tcPr>
          <w:p w:rsidR="002540F2" w:rsidRPr="002540F2" w:rsidRDefault="002540F2" w:rsidP="001220A4">
            <w:pPr>
              <w:pStyle w:val="t"/>
              <w:spacing w:before="40" w:after="40"/>
              <w:jc w:val="center"/>
              <w:rPr>
                <w:rFonts w:eastAsia="MS PGothic"/>
                <w:color w:val="000000"/>
              </w:rPr>
            </w:pPr>
            <w:r w:rsidRPr="002540F2">
              <w:rPr>
                <w:rFonts w:eastAsia="MS PGothic"/>
                <w:color w:val="000000"/>
              </w:rPr>
              <w:t>0.62</w:t>
            </w:r>
          </w:p>
        </w:tc>
      </w:tr>
    </w:tbl>
    <w:p w:rsidR="0043551B" w:rsidRDefault="0043551B" w:rsidP="001C7E0B">
      <w:pPr>
        <w:pStyle w:val="t"/>
        <w:rPr>
          <w:szCs w:val="20"/>
          <w:lang w:val="en-GB" w:bidi="he-IL"/>
        </w:rPr>
      </w:pPr>
    </w:p>
    <w:p w:rsidR="0059091D" w:rsidRPr="0084084D" w:rsidRDefault="006A185F" w:rsidP="001C7E0B">
      <w:pPr>
        <w:pStyle w:val="t"/>
        <w:rPr>
          <w:szCs w:val="20"/>
          <w:lang w:val="en-GB" w:bidi="he-IL"/>
        </w:rPr>
      </w:pPr>
      <w:r>
        <w:rPr>
          <w:rFonts w:hint="eastAsia"/>
          <w:szCs w:val="20"/>
          <w:lang w:val="en-GB" w:bidi="he-IL"/>
        </w:rPr>
        <w:t xml:space="preserve">Group 2 </w:t>
      </w:r>
      <w:r w:rsidR="001220A4">
        <w:rPr>
          <w:szCs w:val="20"/>
          <w:lang w:val="en-GB" w:bidi="he-IL"/>
        </w:rPr>
        <w:t>scores</w:t>
      </w:r>
      <w:r>
        <w:rPr>
          <w:rFonts w:hint="eastAsia"/>
          <w:szCs w:val="20"/>
          <w:lang w:val="en-GB" w:bidi="he-IL"/>
        </w:rPr>
        <w:t xml:space="preserve"> the highest EIRR of 37.92% and one of the reasons of it is because the project areas of Group 2 are located in Lagos and its </w:t>
      </w:r>
      <w:r>
        <w:rPr>
          <w:szCs w:val="20"/>
          <w:lang w:val="en-GB" w:bidi="he-IL"/>
        </w:rPr>
        <w:t>surrounding</w:t>
      </w:r>
      <w:r>
        <w:rPr>
          <w:rFonts w:hint="eastAsia"/>
          <w:szCs w:val="20"/>
          <w:lang w:val="en-GB" w:bidi="he-IL"/>
        </w:rPr>
        <w:t xml:space="preserve"> areas, which are most densely populated areas in this country, therefore potential demands and expected </w:t>
      </w:r>
      <w:r>
        <w:rPr>
          <w:szCs w:val="20"/>
          <w:lang w:val="en-GB" w:bidi="he-IL"/>
        </w:rPr>
        <w:t>increased</w:t>
      </w:r>
      <w:r>
        <w:rPr>
          <w:rFonts w:hint="eastAsia"/>
          <w:szCs w:val="20"/>
          <w:lang w:val="en-GB" w:bidi="he-IL"/>
        </w:rPr>
        <w:t xml:space="preserve"> electricity compared to the project </w:t>
      </w:r>
      <w:proofErr w:type="gramStart"/>
      <w:r>
        <w:rPr>
          <w:rFonts w:hint="eastAsia"/>
          <w:szCs w:val="20"/>
          <w:lang w:val="en-GB" w:bidi="he-IL"/>
        </w:rPr>
        <w:t>costs</w:t>
      </w:r>
      <w:proofErr w:type="gramEnd"/>
      <w:r>
        <w:rPr>
          <w:rFonts w:hint="eastAsia"/>
          <w:szCs w:val="20"/>
          <w:lang w:val="en-GB" w:bidi="he-IL"/>
        </w:rPr>
        <w:t xml:space="preserve"> are relatively high. Overall, EIRR of all groups are higher than the provided discount rate of 12%.</w:t>
      </w:r>
      <w:r w:rsidR="0030694B">
        <w:rPr>
          <w:rFonts w:hint="eastAsia"/>
          <w:szCs w:val="20"/>
          <w:lang w:val="en-GB" w:bidi="he-IL"/>
        </w:rPr>
        <w:t xml:space="preserve"> It means that the economic benefits overtake </w:t>
      </w:r>
      <w:r w:rsidR="0030694B">
        <w:rPr>
          <w:rFonts w:hint="eastAsia"/>
          <w:szCs w:val="20"/>
          <w:lang w:val="en-GB" w:bidi="he-IL"/>
        </w:rPr>
        <w:lastRenderedPageBreak/>
        <w:t>the opportunity costs of the capital.</w:t>
      </w:r>
      <w:r>
        <w:rPr>
          <w:rFonts w:hint="eastAsia"/>
          <w:szCs w:val="20"/>
          <w:lang w:val="en-GB" w:bidi="he-IL"/>
        </w:rPr>
        <w:t xml:space="preserve"> Hence, all project groups can be assessed as economically valid judged from the results of benefit-cost analyses.</w:t>
      </w:r>
      <w:r w:rsidR="0030694B">
        <w:rPr>
          <w:rFonts w:hint="eastAsia"/>
          <w:szCs w:val="20"/>
          <w:lang w:val="en-GB" w:bidi="he-IL"/>
        </w:rPr>
        <w:t xml:space="preserve"> </w:t>
      </w:r>
    </w:p>
    <w:p w:rsidR="0043551B" w:rsidRDefault="0043551B" w:rsidP="0043551B">
      <w:pPr>
        <w:pStyle w:val="Heading2"/>
      </w:pPr>
      <w:r>
        <w:t>Sensitivity Analysis Results</w:t>
      </w:r>
    </w:p>
    <w:p w:rsidR="00186DBA" w:rsidRDefault="009E7BD0" w:rsidP="001C7E0B">
      <w:pPr>
        <w:pStyle w:val="t"/>
      </w:pPr>
      <w:r>
        <w:rPr>
          <w:rFonts w:hint="eastAsia"/>
        </w:rPr>
        <w:t>Table 9 presents the results of s</w:t>
      </w:r>
      <w:r w:rsidR="00186DBA">
        <w:rPr>
          <w:rFonts w:hint="eastAsia"/>
        </w:rPr>
        <w:t>ensitive analys</w:t>
      </w:r>
      <w:r>
        <w:rPr>
          <w:rFonts w:hint="eastAsia"/>
        </w:rPr>
        <w:t>e</w:t>
      </w:r>
      <w:r w:rsidR="00186DBA">
        <w:rPr>
          <w:rFonts w:hint="eastAsia"/>
        </w:rPr>
        <w:t xml:space="preserve">s </w:t>
      </w:r>
      <w:r>
        <w:rPr>
          <w:rFonts w:hint="eastAsia"/>
        </w:rPr>
        <w:t xml:space="preserve">which were </w:t>
      </w:r>
      <w:r w:rsidR="00186DBA">
        <w:rPr>
          <w:rFonts w:hint="eastAsia"/>
        </w:rPr>
        <w:t xml:space="preserve">carried out </w:t>
      </w:r>
      <w:r>
        <w:rPr>
          <w:rFonts w:hint="eastAsia"/>
        </w:rPr>
        <w:t xml:space="preserve">by re-assessment of EIRRs </w:t>
      </w:r>
      <w:r w:rsidR="00186DBA">
        <w:rPr>
          <w:rFonts w:hint="eastAsia"/>
        </w:rPr>
        <w:t xml:space="preserve">under the assumptions of </w:t>
      </w:r>
      <w:r w:rsidR="00186DBA" w:rsidRPr="00186DBA">
        <w:t>±</w:t>
      </w:r>
      <w:r w:rsidR="00186DBA">
        <w:rPr>
          <w:rFonts w:hint="eastAsia"/>
        </w:rPr>
        <w:t xml:space="preserve">10%, </w:t>
      </w:r>
      <w:r w:rsidR="00186DBA" w:rsidRPr="00186DBA">
        <w:t>±</w:t>
      </w:r>
      <w:r w:rsidR="00186DBA">
        <w:rPr>
          <w:rFonts w:hint="eastAsia"/>
        </w:rPr>
        <w:t>20%</w:t>
      </w:r>
      <w:r w:rsidR="008A4D49">
        <w:rPr>
          <w:rFonts w:hint="eastAsia"/>
        </w:rPr>
        <w:t xml:space="preserve"> of</w:t>
      </w:r>
      <w:r w:rsidR="00186DBA">
        <w:rPr>
          <w:rFonts w:hint="eastAsia"/>
        </w:rPr>
        <w:t xml:space="preserve"> initial investment cost and benefit respectively. Results are as follows.</w:t>
      </w:r>
    </w:p>
    <w:p w:rsidR="008A4D49" w:rsidRDefault="008A4D49" w:rsidP="00C341B0">
      <w:pPr>
        <w:pStyle w:val="t"/>
        <w:keepNext/>
        <w:spacing w:after="120"/>
        <w:jc w:val="center"/>
      </w:pPr>
      <w:r w:rsidRPr="00251E3E">
        <w:rPr>
          <w:b/>
          <w:szCs w:val="20"/>
          <w:lang w:val="en-GB" w:bidi="he-IL"/>
        </w:rPr>
        <w:t xml:space="preserve">Table </w:t>
      </w:r>
      <w:proofErr w:type="gramStart"/>
      <w:r w:rsidR="00552336">
        <w:rPr>
          <w:rFonts w:hint="eastAsia"/>
          <w:b/>
          <w:szCs w:val="20"/>
          <w:lang w:val="en-GB" w:bidi="he-IL"/>
        </w:rPr>
        <w:t>9</w:t>
      </w:r>
      <w:r>
        <w:rPr>
          <w:rFonts w:hint="eastAsia"/>
          <w:b/>
          <w:szCs w:val="20"/>
          <w:lang w:val="en-GB" w:bidi="he-IL"/>
        </w:rPr>
        <w:t xml:space="preserve"> </w:t>
      </w:r>
      <w:r w:rsidRPr="00251E3E">
        <w:rPr>
          <w:b/>
          <w:szCs w:val="20"/>
          <w:lang w:val="en-GB" w:bidi="he-IL"/>
        </w:rPr>
        <w:t xml:space="preserve"> </w:t>
      </w:r>
      <w:r>
        <w:rPr>
          <w:rFonts w:hint="eastAsia"/>
          <w:b/>
          <w:szCs w:val="20"/>
          <w:lang w:val="en-GB" w:bidi="he-IL"/>
        </w:rPr>
        <w:t>Results</w:t>
      </w:r>
      <w:proofErr w:type="gramEnd"/>
      <w:r>
        <w:rPr>
          <w:rFonts w:hint="eastAsia"/>
          <w:b/>
          <w:szCs w:val="20"/>
          <w:lang w:val="en-GB" w:bidi="he-IL"/>
        </w:rPr>
        <w:t xml:space="preserve"> of Sensitivity Analysis of Benefit-Cost Assessment</w:t>
      </w:r>
    </w:p>
    <w:tbl>
      <w:tblPr>
        <w:tblW w:w="8547" w:type="dxa"/>
        <w:tblInd w:w="84" w:type="dxa"/>
        <w:tblCellMar>
          <w:left w:w="99" w:type="dxa"/>
          <w:right w:w="99" w:type="dxa"/>
        </w:tblCellMar>
        <w:tblLook w:val="04A0"/>
      </w:tblPr>
      <w:tblGrid>
        <w:gridCol w:w="1300"/>
        <w:gridCol w:w="983"/>
        <w:gridCol w:w="877"/>
        <w:gridCol w:w="877"/>
        <w:gridCol w:w="877"/>
        <w:gridCol w:w="913"/>
        <w:gridCol w:w="877"/>
        <w:gridCol w:w="966"/>
        <w:gridCol w:w="877"/>
      </w:tblGrid>
      <w:tr w:rsidR="00C74354" w:rsidRPr="0043551B" w:rsidTr="00C74354">
        <w:trPr>
          <w:trHeight w:val="27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 xml:space="preserve">　</w:t>
            </w:r>
          </w:p>
        </w:tc>
        <w:tc>
          <w:tcPr>
            <w:tcW w:w="361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74354" w:rsidRPr="0043551B" w:rsidRDefault="00C74354" w:rsidP="00DE6A4E">
            <w:pPr>
              <w:pStyle w:val="t"/>
              <w:keepNext/>
              <w:spacing w:beforeLines="20" w:afterLines="20"/>
              <w:jc w:val="center"/>
              <w:rPr>
                <w:rFonts w:eastAsia="MS PGothic"/>
                <w:b/>
                <w:color w:val="000000"/>
                <w:sz w:val="16"/>
                <w:szCs w:val="16"/>
              </w:rPr>
            </w:pPr>
            <w:r w:rsidRPr="0043551B">
              <w:rPr>
                <w:rFonts w:eastAsia="MS PGothic"/>
                <w:b/>
                <w:color w:val="000000"/>
                <w:sz w:val="16"/>
                <w:szCs w:val="16"/>
              </w:rPr>
              <w:t>Project Cost</w:t>
            </w:r>
          </w:p>
        </w:tc>
        <w:tc>
          <w:tcPr>
            <w:tcW w:w="363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74354" w:rsidRPr="0043551B" w:rsidRDefault="00C74354" w:rsidP="00DE6A4E">
            <w:pPr>
              <w:pStyle w:val="t"/>
              <w:keepNext/>
              <w:spacing w:beforeLines="20" w:afterLines="20"/>
              <w:jc w:val="center"/>
              <w:rPr>
                <w:rFonts w:eastAsia="MS PGothic"/>
                <w:b/>
                <w:color w:val="000000"/>
                <w:sz w:val="16"/>
                <w:szCs w:val="16"/>
              </w:rPr>
            </w:pPr>
            <w:r w:rsidRPr="0043551B">
              <w:rPr>
                <w:rFonts w:eastAsia="MS PGothic"/>
                <w:b/>
                <w:color w:val="000000"/>
                <w:sz w:val="16"/>
                <w:szCs w:val="16"/>
              </w:rPr>
              <w:t>Benefit</w:t>
            </w:r>
          </w:p>
        </w:tc>
      </w:tr>
      <w:tr w:rsidR="00C74354" w:rsidRPr="0043551B" w:rsidTr="00C74354">
        <w:trPr>
          <w:trHeight w:val="27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b/>
                <w:color w:val="000000"/>
                <w:sz w:val="16"/>
                <w:szCs w:val="16"/>
              </w:rPr>
              <w:t>Group</w:t>
            </w:r>
          </w:p>
        </w:tc>
        <w:tc>
          <w:tcPr>
            <w:tcW w:w="983" w:type="dxa"/>
            <w:tcBorders>
              <w:top w:val="nil"/>
              <w:left w:val="nil"/>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-2</w:t>
            </w:r>
            <w:r w:rsidRPr="0043551B">
              <w:rPr>
                <w:rFonts w:eastAsia="MS PGothic"/>
                <w:b/>
                <w:color w:val="000000"/>
                <w:sz w:val="16"/>
                <w:szCs w:val="16"/>
              </w:rPr>
              <w:t>0%</w:t>
            </w:r>
          </w:p>
        </w:tc>
        <w:tc>
          <w:tcPr>
            <w:tcW w:w="877" w:type="dxa"/>
            <w:tcBorders>
              <w:top w:val="nil"/>
              <w:left w:val="nil"/>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-1</w:t>
            </w:r>
            <w:r w:rsidRPr="0043551B">
              <w:rPr>
                <w:rFonts w:eastAsia="MS PGothic"/>
                <w:b/>
                <w:color w:val="000000"/>
                <w:sz w:val="16"/>
                <w:szCs w:val="16"/>
              </w:rPr>
              <w:t>0%</w:t>
            </w:r>
          </w:p>
        </w:tc>
        <w:tc>
          <w:tcPr>
            <w:tcW w:w="877" w:type="dxa"/>
            <w:tcBorders>
              <w:top w:val="nil"/>
              <w:left w:val="nil"/>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w:t>
            </w:r>
            <w:r w:rsidRPr="0043551B">
              <w:rPr>
                <w:rFonts w:eastAsia="MS PGothic"/>
                <w:b/>
                <w:color w:val="000000"/>
                <w:sz w:val="16"/>
                <w:szCs w:val="16"/>
              </w:rPr>
              <w:t>10%</w:t>
            </w:r>
          </w:p>
        </w:tc>
        <w:tc>
          <w:tcPr>
            <w:tcW w:w="877" w:type="dxa"/>
            <w:tcBorders>
              <w:top w:val="nil"/>
              <w:left w:val="nil"/>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w:t>
            </w:r>
            <w:r w:rsidRPr="0043551B">
              <w:rPr>
                <w:rFonts w:eastAsia="MS PGothic"/>
                <w:b/>
                <w:color w:val="000000"/>
                <w:sz w:val="16"/>
                <w:szCs w:val="16"/>
              </w:rPr>
              <w:t>20%</w:t>
            </w:r>
          </w:p>
        </w:tc>
        <w:tc>
          <w:tcPr>
            <w:tcW w:w="91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-2</w:t>
            </w:r>
            <w:r w:rsidRPr="0043551B">
              <w:rPr>
                <w:rFonts w:eastAsia="MS PGothic"/>
                <w:b/>
                <w:color w:val="000000"/>
                <w:sz w:val="16"/>
                <w:szCs w:val="16"/>
              </w:rPr>
              <w:t>0%</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-1</w:t>
            </w:r>
            <w:r w:rsidRPr="0043551B">
              <w:rPr>
                <w:rFonts w:eastAsia="MS PGothic"/>
                <w:b/>
                <w:color w:val="000000"/>
                <w:sz w:val="16"/>
                <w:szCs w:val="16"/>
              </w:rPr>
              <w:t>0%</w:t>
            </w:r>
          </w:p>
        </w:tc>
        <w:tc>
          <w:tcPr>
            <w:tcW w:w="966"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w:t>
            </w:r>
            <w:r w:rsidRPr="0043551B">
              <w:rPr>
                <w:rFonts w:eastAsia="MS PGothic"/>
                <w:b/>
                <w:color w:val="000000"/>
                <w:sz w:val="16"/>
                <w:szCs w:val="16"/>
              </w:rPr>
              <w:t>10%</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b/>
                <w:color w:val="000000"/>
                <w:sz w:val="16"/>
                <w:szCs w:val="16"/>
              </w:rPr>
            </w:pPr>
            <w:r w:rsidRPr="0043551B">
              <w:rPr>
                <w:rFonts w:eastAsia="MS PGothic" w:hint="eastAsia"/>
                <w:b/>
                <w:color w:val="000000"/>
                <w:sz w:val="16"/>
                <w:szCs w:val="16"/>
              </w:rPr>
              <w:t>+</w:t>
            </w:r>
            <w:r w:rsidRPr="0043551B">
              <w:rPr>
                <w:rFonts w:eastAsia="MS PGothic"/>
                <w:b/>
                <w:color w:val="000000"/>
                <w:sz w:val="16"/>
                <w:szCs w:val="16"/>
              </w:rPr>
              <w:t>20%</w:t>
            </w:r>
          </w:p>
        </w:tc>
      </w:tr>
      <w:tr w:rsidR="00C74354" w:rsidRPr="0043551B" w:rsidTr="00C74354">
        <w:trPr>
          <w:trHeight w:val="27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sz w:val="16"/>
                <w:szCs w:val="16"/>
                <w:lang w:bidi="he-IL"/>
              </w:rPr>
            </w:pPr>
            <w:r w:rsidRPr="0043551B">
              <w:rPr>
                <w:rFonts w:hint="eastAsia"/>
                <w:sz w:val="16"/>
                <w:szCs w:val="16"/>
                <w:lang w:bidi="he-IL"/>
              </w:rPr>
              <w:t>Group-1</w:t>
            </w:r>
          </w:p>
        </w:tc>
        <w:tc>
          <w:tcPr>
            <w:tcW w:w="98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27.83%</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25.72%</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22.41%</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21.08%</w:t>
            </w:r>
          </w:p>
        </w:tc>
        <w:tc>
          <w:tcPr>
            <w:tcW w:w="91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20.25%</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22.14%</w:t>
            </w:r>
          </w:p>
        </w:tc>
        <w:tc>
          <w:tcPr>
            <w:tcW w:w="966"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25.66%</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27.31%</w:t>
            </w:r>
          </w:p>
        </w:tc>
      </w:tr>
      <w:tr w:rsidR="00C74354" w:rsidRPr="0043551B" w:rsidTr="00C74354">
        <w:trPr>
          <w:trHeight w:val="27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sz w:val="16"/>
                <w:szCs w:val="16"/>
                <w:lang w:bidi="he-IL"/>
              </w:rPr>
            </w:pPr>
            <w:r w:rsidRPr="0043551B">
              <w:rPr>
                <w:rFonts w:hint="eastAsia"/>
                <w:sz w:val="16"/>
                <w:szCs w:val="16"/>
                <w:lang w:bidi="he-IL"/>
              </w:rPr>
              <w:t>Group-2</w:t>
            </w:r>
          </w:p>
        </w:tc>
        <w:tc>
          <w:tcPr>
            <w:tcW w:w="98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43.50%</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40.48%</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35.72%</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33.81%</w:t>
            </w:r>
          </w:p>
        </w:tc>
        <w:tc>
          <w:tcPr>
            <w:tcW w:w="91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32.82%</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35.44%</w:t>
            </w:r>
          </w:p>
        </w:tc>
        <w:tc>
          <w:tcPr>
            <w:tcW w:w="966"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40.29%</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42.56%</w:t>
            </w:r>
          </w:p>
        </w:tc>
      </w:tr>
      <w:tr w:rsidR="00C74354" w:rsidRPr="0043551B" w:rsidTr="00C74354">
        <w:trPr>
          <w:trHeight w:val="27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sz w:val="16"/>
                <w:szCs w:val="16"/>
                <w:lang w:bidi="he-IL"/>
              </w:rPr>
            </w:pPr>
            <w:r w:rsidRPr="0043551B">
              <w:rPr>
                <w:rFonts w:hint="eastAsia"/>
                <w:sz w:val="16"/>
                <w:szCs w:val="16"/>
                <w:lang w:bidi="he-IL"/>
              </w:rPr>
              <w:t>Group-3</w:t>
            </w:r>
          </w:p>
        </w:tc>
        <w:tc>
          <w:tcPr>
            <w:tcW w:w="98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24.39%</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22.51%</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19.56%</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18.39%</w:t>
            </w:r>
          </w:p>
        </w:tc>
        <w:tc>
          <w:tcPr>
            <w:tcW w:w="91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17.73%</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19.37%</w:t>
            </w:r>
          </w:p>
        </w:tc>
        <w:tc>
          <w:tcPr>
            <w:tcW w:w="966"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22.41%</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23.84%</w:t>
            </w:r>
          </w:p>
        </w:tc>
      </w:tr>
      <w:tr w:rsidR="00C74354" w:rsidRPr="0043551B" w:rsidTr="00C74354">
        <w:trPr>
          <w:trHeight w:val="27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keepNext/>
              <w:spacing w:beforeLines="20" w:afterLines="20"/>
              <w:rPr>
                <w:sz w:val="16"/>
                <w:szCs w:val="16"/>
                <w:lang w:bidi="he-IL"/>
              </w:rPr>
            </w:pPr>
            <w:r w:rsidRPr="0043551B">
              <w:rPr>
                <w:rFonts w:hint="eastAsia"/>
                <w:sz w:val="16"/>
                <w:szCs w:val="16"/>
                <w:lang w:bidi="he-IL"/>
              </w:rPr>
              <w:t>Group-4</w:t>
            </w:r>
          </w:p>
        </w:tc>
        <w:tc>
          <w:tcPr>
            <w:tcW w:w="98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19.17%</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17.64%</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15.25%</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14.28%</w:t>
            </w:r>
          </w:p>
        </w:tc>
        <w:tc>
          <w:tcPr>
            <w:tcW w:w="91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13.71%</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15.07%</w:t>
            </w:r>
          </w:p>
        </w:tc>
        <w:tc>
          <w:tcPr>
            <w:tcW w:w="966"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17.58%</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keepNext/>
              <w:spacing w:beforeLines="20" w:afterLines="20"/>
              <w:rPr>
                <w:rFonts w:eastAsia="MS PGothic"/>
                <w:color w:val="000000"/>
                <w:sz w:val="16"/>
                <w:szCs w:val="16"/>
              </w:rPr>
            </w:pPr>
            <w:r w:rsidRPr="0043551B">
              <w:rPr>
                <w:rFonts w:eastAsia="MS PGothic"/>
                <w:color w:val="000000"/>
                <w:sz w:val="16"/>
                <w:szCs w:val="16"/>
              </w:rPr>
              <w:t>18.76%</w:t>
            </w:r>
          </w:p>
        </w:tc>
      </w:tr>
      <w:tr w:rsidR="00C74354" w:rsidRPr="0043551B" w:rsidTr="00C74354">
        <w:trPr>
          <w:trHeight w:val="27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354" w:rsidRPr="0043551B" w:rsidRDefault="00C74354" w:rsidP="00DE6A4E">
            <w:pPr>
              <w:pStyle w:val="t"/>
              <w:spacing w:beforeLines="20" w:afterLines="20"/>
              <w:rPr>
                <w:sz w:val="16"/>
                <w:szCs w:val="16"/>
                <w:lang w:bidi="he-IL"/>
              </w:rPr>
            </w:pPr>
            <w:r w:rsidRPr="0043551B">
              <w:rPr>
                <w:rFonts w:hint="eastAsia"/>
                <w:sz w:val="16"/>
                <w:szCs w:val="16"/>
                <w:lang w:bidi="he-IL"/>
              </w:rPr>
              <w:t>Group-5</w:t>
            </w:r>
          </w:p>
        </w:tc>
        <w:tc>
          <w:tcPr>
            <w:tcW w:w="98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20.59%</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18.96%</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16.42%</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15.40%</w:t>
            </w:r>
          </w:p>
        </w:tc>
        <w:tc>
          <w:tcPr>
            <w:tcW w:w="913"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14.82%</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16.25%</w:t>
            </w:r>
          </w:p>
        </w:tc>
        <w:tc>
          <w:tcPr>
            <w:tcW w:w="966"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18.89%</w:t>
            </w:r>
          </w:p>
        </w:tc>
        <w:tc>
          <w:tcPr>
            <w:tcW w:w="877" w:type="dxa"/>
            <w:tcBorders>
              <w:top w:val="nil"/>
              <w:left w:val="nil"/>
              <w:bottom w:val="single" w:sz="4" w:space="0" w:color="auto"/>
              <w:right w:val="single" w:sz="4" w:space="0" w:color="auto"/>
            </w:tcBorders>
            <w:shd w:val="clear" w:color="auto" w:fill="auto"/>
            <w:noWrap/>
            <w:vAlign w:val="center"/>
          </w:tcPr>
          <w:p w:rsidR="00C74354" w:rsidRPr="0043551B" w:rsidRDefault="00C74354" w:rsidP="00DE6A4E">
            <w:pPr>
              <w:pStyle w:val="t"/>
              <w:spacing w:beforeLines="20" w:afterLines="20"/>
              <w:rPr>
                <w:rFonts w:eastAsia="MS PGothic"/>
                <w:color w:val="000000"/>
                <w:sz w:val="16"/>
                <w:szCs w:val="16"/>
              </w:rPr>
            </w:pPr>
            <w:r w:rsidRPr="0043551B">
              <w:rPr>
                <w:rFonts w:eastAsia="MS PGothic"/>
                <w:color w:val="000000"/>
                <w:sz w:val="16"/>
                <w:szCs w:val="16"/>
              </w:rPr>
              <w:t>20.13%</w:t>
            </w:r>
          </w:p>
        </w:tc>
      </w:tr>
    </w:tbl>
    <w:p w:rsidR="00C74354" w:rsidRDefault="00C74354" w:rsidP="001C7E0B">
      <w:pPr>
        <w:pStyle w:val="t"/>
      </w:pPr>
    </w:p>
    <w:p w:rsidR="004F1E1F" w:rsidRPr="00186DBA" w:rsidRDefault="008F02BF" w:rsidP="001C7E0B">
      <w:pPr>
        <w:pStyle w:val="t"/>
      </w:pPr>
      <w:r>
        <w:rPr>
          <w:rFonts w:hint="eastAsia"/>
        </w:rPr>
        <w:t xml:space="preserve">Even in the </w:t>
      </w:r>
      <w:r>
        <w:t>sensitive</w:t>
      </w:r>
      <w:r>
        <w:rPr>
          <w:rFonts w:hint="eastAsia"/>
        </w:rPr>
        <w:t xml:space="preserve"> analyses, evaluated EIRRs are all exceeding 12% and indicating the validity of the projects from the economic viewpoint. EIRRs of Group 1 and 2 secure 20% at lowest and it can be said these project groups are robust enough from the economic aspect. EIRRs of Group 4 and 5 mark the lower values: 13.71% of Group 4 and 14.82% of Group 5, the values just above the discount rate 12%. Both are resulted from the analyses with </w:t>
      </w:r>
      <w:r w:rsidRPr="008F02BF">
        <w:t>-20%</w:t>
      </w:r>
      <w:r>
        <w:rPr>
          <w:rFonts w:hint="eastAsia"/>
        </w:rPr>
        <w:t xml:space="preserve"> </w:t>
      </w:r>
      <w:r>
        <w:t>benefits</w:t>
      </w:r>
      <w:r>
        <w:rPr>
          <w:rFonts w:hint="eastAsia"/>
        </w:rPr>
        <w:t>. In implementation of Group 4 and 5, the economic benefit as well as costs should be re-assessed carefully.</w:t>
      </w:r>
    </w:p>
    <w:sectPr w:rsidR="004F1E1F" w:rsidRPr="00186DBA" w:rsidSect="001C7E0B">
      <w:footerReference w:type="default" r:id="rId9"/>
      <w:pgSz w:w="11906" w:h="16838"/>
      <w:pgMar w:top="1440"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3E7" w:rsidRDefault="000043E7" w:rsidP="003C5968">
      <w:r>
        <w:separator/>
      </w:r>
    </w:p>
  </w:endnote>
  <w:endnote w:type="continuationSeparator" w:id="0">
    <w:p w:rsidR="000043E7" w:rsidRDefault="000043E7" w:rsidP="003C59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UI Gothic">
    <w:panose1 w:val="020B0600070205080204"/>
    <w:charset w:val="80"/>
    <w:family w:val="swiss"/>
    <w:pitch w:val="variable"/>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rPr>
      <w:id w:val="6852438"/>
      <w:docPartObj>
        <w:docPartGallery w:val="Page Numbers (Bottom of Page)"/>
        <w:docPartUnique/>
      </w:docPartObj>
    </w:sdtPr>
    <w:sdtEndPr>
      <w:rPr>
        <w:rFonts w:ascii="Arial Narrow" w:hAnsi="Arial Narrow"/>
        <w:b/>
        <w:caps/>
        <w:shadow/>
      </w:rPr>
    </w:sdtEndPr>
    <w:sdtContent>
      <w:p w:rsidR="0043551B" w:rsidRPr="00DE6A4E" w:rsidRDefault="008D716C" w:rsidP="00501CD1">
        <w:pPr>
          <w:pStyle w:val="Footer"/>
          <w:pBdr>
            <w:top w:val="single" w:sz="4" w:space="1" w:color="auto"/>
          </w:pBdr>
          <w:tabs>
            <w:tab w:val="clear" w:pos="4252"/>
            <w:tab w:val="left" w:pos="0"/>
            <w:tab w:val="center" w:pos="4320"/>
          </w:tabs>
          <w:rPr>
            <w:rFonts w:ascii="Arial Narrow" w:hAnsi="Arial Narrow"/>
            <w:b/>
            <w:caps/>
            <w:shadow/>
          </w:rPr>
        </w:pPr>
        <w:r w:rsidRPr="0043551B">
          <w:rPr>
            <w:rFonts w:ascii="Verdana" w:hAnsi="Verdana"/>
          </w:rPr>
          <w:fldChar w:fldCharType="begin"/>
        </w:r>
        <w:r w:rsidR="0043551B" w:rsidRPr="0043551B">
          <w:rPr>
            <w:rFonts w:ascii="Verdana" w:hAnsi="Verdana"/>
          </w:rPr>
          <w:instrText xml:space="preserve"> PAGE   \* MERGEFORMAT </w:instrText>
        </w:r>
        <w:r w:rsidRPr="0043551B">
          <w:rPr>
            <w:rFonts w:ascii="Verdana" w:hAnsi="Verdana"/>
          </w:rPr>
          <w:fldChar w:fldCharType="separate"/>
        </w:r>
        <w:r w:rsidR="00501CD1">
          <w:rPr>
            <w:rFonts w:ascii="Verdana" w:hAnsi="Verdana"/>
            <w:noProof/>
          </w:rPr>
          <w:t>1</w:t>
        </w:r>
        <w:r w:rsidRPr="0043551B">
          <w:rPr>
            <w:rFonts w:ascii="Verdana" w:hAnsi="Verdana"/>
          </w:rPr>
          <w:fldChar w:fldCharType="end"/>
        </w:r>
        <w:r w:rsidR="00DE6A4E">
          <w:rPr>
            <w:rFonts w:ascii="Verdana" w:hAnsi="Verdana"/>
          </w:rPr>
          <w:tab/>
        </w:r>
        <w:r w:rsidR="00DE6A4E">
          <w:rPr>
            <w:rFonts w:ascii="Verdana" w:hAnsi="Verdana"/>
          </w:rPr>
          <w:tab/>
        </w:r>
        <w:r w:rsidR="00DE6A4E" w:rsidRPr="00DE6A4E">
          <w:rPr>
            <w:rFonts w:ascii="Arial Narrow" w:hAnsi="Arial Narrow"/>
            <w:b/>
            <w:caps/>
            <w:shadow/>
          </w:rPr>
          <w:t>Yachiyo Engineering Co., Ltd.</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3E7" w:rsidRDefault="000043E7" w:rsidP="003C5968">
      <w:r>
        <w:separator/>
      </w:r>
    </w:p>
  </w:footnote>
  <w:footnote w:type="continuationSeparator" w:id="0">
    <w:p w:rsidR="000043E7" w:rsidRDefault="000043E7" w:rsidP="003C5968">
      <w:r>
        <w:continuationSeparator/>
      </w:r>
    </w:p>
  </w:footnote>
  <w:footnote w:id="1">
    <w:p w:rsidR="003C5968" w:rsidRPr="000F1E04" w:rsidRDefault="003C5968">
      <w:pPr>
        <w:pStyle w:val="FootnoteText"/>
        <w:rPr>
          <w:rFonts w:ascii="Verdana" w:hAnsi="Verdana"/>
          <w:sz w:val="18"/>
          <w:szCs w:val="18"/>
        </w:rPr>
      </w:pPr>
      <w:r w:rsidRPr="000F1E04">
        <w:rPr>
          <w:rStyle w:val="FootnoteReference"/>
          <w:rFonts w:ascii="Verdana" w:hAnsi="Verdana"/>
          <w:sz w:val="18"/>
          <w:szCs w:val="18"/>
        </w:rPr>
        <w:footnoteRef/>
      </w:r>
      <w:r w:rsidRPr="000F1E04">
        <w:rPr>
          <w:rFonts w:ascii="Verdana" w:hAnsi="Verdana"/>
          <w:sz w:val="18"/>
          <w:szCs w:val="18"/>
        </w:rPr>
        <w:t xml:space="preserve"> http://www.resimao.org/html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F5195"/>
    <w:multiLevelType w:val="hybridMultilevel"/>
    <w:tmpl w:val="9E1C3F44"/>
    <w:lvl w:ilvl="0" w:tplc="B204F8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BAD716D"/>
    <w:multiLevelType w:val="hybridMultilevel"/>
    <w:tmpl w:val="8884A57C"/>
    <w:lvl w:ilvl="0" w:tplc="31842540">
      <w:numFmt w:val="bullet"/>
      <w:lvlText w:val="•"/>
      <w:lvlJc w:val="left"/>
      <w:pPr>
        <w:ind w:left="420" w:hanging="420"/>
      </w:pPr>
      <w:rPr>
        <w:rFonts w:ascii="Calibri" w:eastAsia="Century" w:hAnsi="Calibri"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818497F"/>
    <w:multiLevelType w:val="hybridMultilevel"/>
    <w:tmpl w:val="EA847296"/>
    <w:lvl w:ilvl="0" w:tplc="A5C2A69A">
      <w:start w:val="1"/>
      <w:numFmt w:val="lowerLetter"/>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18C0E9D"/>
    <w:multiLevelType w:val="hybridMultilevel"/>
    <w:tmpl w:val="9E1C3F44"/>
    <w:lvl w:ilvl="0" w:tplc="B204F8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CCD0C40"/>
    <w:multiLevelType w:val="hybridMultilevel"/>
    <w:tmpl w:val="6A9C4AE0"/>
    <w:lvl w:ilvl="0" w:tplc="A2DC6D4C">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EEB4E7C"/>
    <w:multiLevelType w:val="hybridMultilevel"/>
    <w:tmpl w:val="82DEE896"/>
    <w:lvl w:ilvl="0" w:tplc="A35467F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52A8385F"/>
    <w:multiLevelType w:val="hybridMultilevel"/>
    <w:tmpl w:val="9E1C3F44"/>
    <w:lvl w:ilvl="0" w:tplc="B204F8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6117F4E"/>
    <w:multiLevelType w:val="hybridMultilevel"/>
    <w:tmpl w:val="DA6AB594"/>
    <w:lvl w:ilvl="0" w:tplc="96604F1E">
      <w:start w:val="1"/>
      <w:numFmt w:val="bullet"/>
      <w:pStyle w:val="b"/>
      <w:lvlText w:val=""/>
      <w:lvlJc w:val="left"/>
      <w:pPr>
        <w:ind w:left="720" w:hanging="360"/>
      </w:pPr>
      <w:rPr>
        <w:rFonts w:ascii="Symbol" w:hAnsi="Symbol" w:hint="default"/>
        <w:sz w:val="28"/>
      </w:rPr>
    </w:lvl>
    <w:lvl w:ilvl="1" w:tplc="DB5ACA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AA64B5"/>
    <w:multiLevelType w:val="multilevel"/>
    <w:tmpl w:val="344CD77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65C50E34"/>
    <w:multiLevelType w:val="hybridMultilevel"/>
    <w:tmpl w:val="9E1C3F44"/>
    <w:lvl w:ilvl="0" w:tplc="B204F8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5"/>
  </w:num>
  <w:num w:numId="5">
    <w:abstractNumId w:val="0"/>
  </w:num>
  <w:num w:numId="6">
    <w:abstractNumId w:val="9"/>
  </w:num>
  <w:num w:numId="7">
    <w:abstractNumId w:val="6"/>
  </w:num>
  <w:num w:numId="8">
    <w:abstractNumId w:val="4"/>
  </w:num>
  <w:num w:numId="9">
    <w:abstractNumId w:val="7"/>
  </w:num>
  <w:num w:numId="10">
    <w:abstractNumId w:val="8"/>
  </w:num>
  <w:num w:numId="11">
    <w:abstractNumId w:val="8"/>
  </w:num>
  <w:num w:numId="12">
    <w:abstractNumId w:val="8"/>
  </w:num>
  <w:num w:numId="13">
    <w:abstractNumId w:val="8"/>
  </w:num>
  <w:num w:numId="14">
    <w:abstractNumId w:val="8"/>
  </w:num>
  <w:num w:numId="15">
    <w:abstractNumId w:val="8"/>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091D"/>
    <w:rsid w:val="000043E7"/>
    <w:rsid w:val="00027265"/>
    <w:rsid w:val="00041870"/>
    <w:rsid w:val="00042D5C"/>
    <w:rsid w:val="00053BB4"/>
    <w:rsid w:val="00063AC5"/>
    <w:rsid w:val="000645A6"/>
    <w:rsid w:val="000A65BC"/>
    <w:rsid w:val="000C23E4"/>
    <w:rsid w:val="000E704D"/>
    <w:rsid w:val="000F1E04"/>
    <w:rsid w:val="001220A4"/>
    <w:rsid w:val="001243B7"/>
    <w:rsid w:val="00186DBA"/>
    <w:rsid w:val="001C7E0B"/>
    <w:rsid w:val="002036B0"/>
    <w:rsid w:val="00251E3E"/>
    <w:rsid w:val="002540F2"/>
    <w:rsid w:val="002922E7"/>
    <w:rsid w:val="002B65F6"/>
    <w:rsid w:val="002E6F14"/>
    <w:rsid w:val="0030694B"/>
    <w:rsid w:val="003159F5"/>
    <w:rsid w:val="00316CB0"/>
    <w:rsid w:val="003779CB"/>
    <w:rsid w:val="00397EF8"/>
    <w:rsid w:val="003B0BB0"/>
    <w:rsid w:val="003C5968"/>
    <w:rsid w:val="003D255B"/>
    <w:rsid w:val="003D479C"/>
    <w:rsid w:val="0041058F"/>
    <w:rsid w:val="00411518"/>
    <w:rsid w:val="00430FDE"/>
    <w:rsid w:val="0043551B"/>
    <w:rsid w:val="004B647E"/>
    <w:rsid w:val="004E27DC"/>
    <w:rsid w:val="004F1E1F"/>
    <w:rsid w:val="004F56FD"/>
    <w:rsid w:val="00501CD1"/>
    <w:rsid w:val="00502E4F"/>
    <w:rsid w:val="00520119"/>
    <w:rsid w:val="00540443"/>
    <w:rsid w:val="00544C8C"/>
    <w:rsid w:val="00552336"/>
    <w:rsid w:val="00553C5D"/>
    <w:rsid w:val="00556697"/>
    <w:rsid w:val="00585380"/>
    <w:rsid w:val="0059091D"/>
    <w:rsid w:val="005F33D3"/>
    <w:rsid w:val="00642CF0"/>
    <w:rsid w:val="00644E7C"/>
    <w:rsid w:val="00677CB1"/>
    <w:rsid w:val="006A185F"/>
    <w:rsid w:val="00702F02"/>
    <w:rsid w:val="00717261"/>
    <w:rsid w:val="007441A0"/>
    <w:rsid w:val="0077066C"/>
    <w:rsid w:val="007A6C2A"/>
    <w:rsid w:val="007C3748"/>
    <w:rsid w:val="007F4998"/>
    <w:rsid w:val="00806300"/>
    <w:rsid w:val="008225C9"/>
    <w:rsid w:val="00824C3F"/>
    <w:rsid w:val="0083049E"/>
    <w:rsid w:val="0084084D"/>
    <w:rsid w:val="00877708"/>
    <w:rsid w:val="008A4D49"/>
    <w:rsid w:val="008D716C"/>
    <w:rsid w:val="008E63C1"/>
    <w:rsid w:val="008F02BF"/>
    <w:rsid w:val="008F4FA5"/>
    <w:rsid w:val="008F5622"/>
    <w:rsid w:val="009263B8"/>
    <w:rsid w:val="009C2361"/>
    <w:rsid w:val="009C66B8"/>
    <w:rsid w:val="009E7BD0"/>
    <w:rsid w:val="009F1B34"/>
    <w:rsid w:val="009F575B"/>
    <w:rsid w:val="00A40DFC"/>
    <w:rsid w:val="00A46DEA"/>
    <w:rsid w:val="00A649EF"/>
    <w:rsid w:val="00A966EB"/>
    <w:rsid w:val="00A96B55"/>
    <w:rsid w:val="00AA506A"/>
    <w:rsid w:val="00AD03EA"/>
    <w:rsid w:val="00AD7B24"/>
    <w:rsid w:val="00B04D7D"/>
    <w:rsid w:val="00B07BE2"/>
    <w:rsid w:val="00B3317B"/>
    <w:rsid w:val="00B338AB"/>
    <w:rsid w:val="00B3470D"/>
    <w:rsid w:val="00B47C71"/>
    <w:rsid w:val="00B5223A"/>
    <w:rsid w:val="00B5754D"/>
    <w:rsid w:val="00BA288C"/>
    <w:rsid w:val="00BD72EA"/>
    <w:rsid w:val="00C107B8"/>
    <w:rsid w:val="00C341B0"/>
    <w:rsid w:val="00C5118A"/>
    <w:rsid w:val="00C74354"/>
    <w:rsid w:val="00C93032"/>
    <w:rsid w:val="00CD637F"/>
    <w:rsid w:val="00CE2894"/>
    <w:rsid w:val="00D824F6"/>
    <w:rsid w:val="00DE6A4E"/>
    <w:rsid w:val="00E01D04"/>
    <w:rsid w:val="00E108BB"/>
    <w:rsid w:val="00E42ECB"/>
    <w:rsid w:val="00E60BCA"/>
    <w:rsid w:val="00E76F6F"/>
    <w:rsid w:val="00EC1AD7"/>
    <w:rsid w:val="00F11264"/>
    <w:rsid w:val="00F32173"/>
    <w:rsid w:val="00F77221"/>
    <w:rsid w:val="00F93908"/>
    <w:rsid w:val="00FB7992"/>
    <w:rsid w:val="00FC58FA"/>
    <w:rsid w:val="00FD18B4"/>
    <w:rsid w:val="00FE3489"/>
    <w:rsid w:val="00FE4D61"/>
    <w:rsid w:val="00FF52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E0B"/>
    <w:rPr>
      <w:rFonts w:asciiTheme="minorHAnsi" w:eastAsiaTheme="minorHAnsi" w:hAnsiTheme="minorHAnsi" w:cstheme="minorBidi"/>
      <w:lang w:bidi="ar-SA"/>
    </w:rPr>
  </w:style>
  <w:style w:type="paragraph" w:styleId="Heading1">
    <w:name w:val="heading 1"/>
    <w:basedOn w:val="Normal"/>
    <w:next w:val="Normal"/>
    <w:link w:val="Heading1Char"/>
    <w:uiPriority w:val="9"/>
    <w:qFormat/>
    <w:rsid w:val="001C7E0B"/>
    <w:pPr>
      <w:keepNext/>
      <w:keepLines/>
      <w:numPr>
        <w:numId w:val="15"/>
      </w:numPr>
      <w:spacing w:before="240" w:after="120"/>
      <w:outlineLvl w:val="0"/>
    </w:pPr>
    <w:rPr>
      <w:rFonts w:ascii="Verdana" w:eastAsiaTheme="majorEastAsia" w:hAnsi="Verdana" w:cstheme="minorHAnsi"/>
      <w:b/>
      <w:bCs/>
      <w:sz w:val="28"/>
      <w:szCs w:val="28"/>
      <w:lang w:val="en-GB" w:bidi="he-IL"/>
    </w:rPr>
  </w:style>
  <w:style w:type="paragraph" w:styleId="Heading2">
    <w:name w:val="heading 2"/>
    <w:basedOn w:val="Normal"/>
    <w:next w:val="Normal"/>
    <w:link w:val="Heading2Char"/>
    <w:uiPriority w:val="9"/>
    <w:unhideWhenUsed/>
    <w:qFormat/>
    <w:rsid w:val="001C7E0B"/>
    <w:pPr>
      <w:keepNext/>
      <w:keepLines/>
      <w:numPr>
        <w:ilvl w:val="1"/>
        <w:numId w:val="15"/>
      </w:numPr>
      <w:spacing w:before="200" w:after="120"/>
      <w:outlineLvl w:val="1"/>
    </w:pPr>
    <w:rPr>
      <w:rFonts w:ascii="Verdana" w:eastAsiaTheme="majorEastAsia" w:hAnsi="Verdana" w:cstheme="minorHAnsi"/>
      <w:b/>
      <w:bCs/>
      <w:sz w:val="24"/>
      <w:szCs w:val="24"/>
    </w:rPr>
  </w:style>
  <w:style w:type="paragraph" w:styleId="Heading3">
    <w:name w:val="heading 3"/>
    <w:basedOn w:val="Normal"/>
    <w:next w:val="Normal"/>
    <w:link w:val="Heading3Char"/>
    <w:uiPriority w:val="9"/>
    <w:unhideWhenUsed/>
    <w:qFormat/>
    <w:rsid w:val="001C7E0B"/>
    <w:pPr>
      <w:keepNext/>
      <w:keepLines/>
      <w:numPr>
        <w:ilvl w:val="2"/>
        <w:numId w:val="15"/>
      </w:numPr>
      <w:spacing w:after="120"/>
      <w:outlineLvl w:val="2"/>
    </w:pPr>
    <w:rPr>
      <w:rFonts w:ascii="Verdana" w:eastAsiaTheme="majorEastAsia" w:hAnsi="Verdana" w:cstheme="minorHAnsi"/>
      <w:b/>
      <w:bCs/>
    </w:rPr>
  </w:style>
  <w:style w:type="paragraph" w:styleId="Heading4">
    <w:name w:val="heading 4"/>
    <w:basedOn w:val="Normal"/>
    <w:next w:val="Normal"/>
    <w:link w:val="Heading4Char"/>
    <w:uiPriority w:val="9"/>
    <w:semiHidden/>
    <w:unhideWhenUsed/>
    <w:qFormat/>
    <w:rsid w:val="001C7E0B"/>
    <w:pPr>
      <w:keepNext/>
      <w:keepLines/>
      <w:numPr>
        <w:ilvl w:val="3"/>
        <w:numId w:val="1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C7E0B"/>
    <w:pPr>
      <w:keepNext/>
      <w:keepLines/>
      <w:numPr>
        <w:ilvl w:val="4"/>
        <w:numId w:val="1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C7E0B"/>
    <w:pPr>
      <w:keepNext/>
      <w:keepLines/>
      <w:numPr>
        <w:ilvl w:val="5"/>
        <w:numId w:val="1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C7E0B"/>
    <w:pPr>
      <w:numPr>
        <w:ilvl w:val="6"/>
        <w:numId w:val="15"/>
      </w:num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1C7E0B"/>
    <w:pPr>
      <w:numPr>
        <w:ilvl w:val="7"/>
        <w:numId w:val="15"/>
      </w:num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1C7E0B"/>
    <w:pPr>
      <w:numPr>
        <w:ilvl w:val="8"/>
        <w:numId w:val="15"/>
      </w:num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E0B"/>
    <w:pPr>
      <w:ind w:left="720"/>
      <w:contextualSpacing/>
    </w:pPr>
  </w:style>
  <w:style w:type="paragraph" w:customStyle="1" w:styleId="Heading50">
    <w:name w:val="Heading5"/>
    <w:basedOn w:val="Heading5"/>
    <w:link w:val="Heading51"/>
    <w:qFormat/>
    <w:rsid w:val="008225C9"/>
    <w:pPr>
      <w:keepNext w:val="0"/>
      <w:tabs>
        <w:tab w:val="left" w:pos="1077"/>
      </w:tabs>
      <w:overflowPunct w:val="0"/>
      <w:autoSpaceDE w:val="0"/>
      <w:autoSpaceDN w:val="0"/>
      <w:adjustRightInd w:val="0"/>
      <w:spacing w:afterLines="30"/>
      <w:ind w:left="0"/>
      <w:jc w:val="center"/>
      <w:textAlignment w:val="baseline"/>
    </w:pPr>
    <w:rPr>
      <w:rFonts w:ascii="Times New Roman" w:eastAsia="MS Mincho" w:hAnsi="Times New Roman" w:cs="Times New Roman"/>
      <w:b/>
      <w:szCs w:val="20"/>
      <w:lang w:val="es-GT" w:bidi="he-IL"/>
    </w:rPr>
  </w:style>
  <w:style w:type="paragraph" w:customStyle="1" w:styleId="MainText">
    <w:name w:val="MainText"/>
    <w:basedOn w:val="Normal"/>
    <w:link w:val="MainText0"/>
    <w:rsid w:val="008225C9"/>
    <w:pPr>
      <w:adjustRightInd w:val="0"/>
      <w:ind w:left="567" w:firstLine="227"/>
      <w:textAlignment w:val="baseline"/>
    </w:pPr>
    <w:rPr>
      <w:szCs w:val="20"/>
      <w:lang w:bidi="he-IL"/>
    </w:rPr>
  </w:style>
  <w:style w:type="character" w:customStyle="1" w:styleId="MainText0">
    <w:name w:val="MainText (文字)"/>
    <w:link w:val="MainText"/>
    <w:rsid w:val="008225C9"/>
    <w:rPr>
      <w:rFonts w:ascii="Times New Roman" w:eastAsia="MS Mincho" w:hAnsi="Times New Roman" w:cs="Times New Roman"/>
      <w:kern w:val="0"/>
      <w:sz w:val="22"/>
      <w:szCs w:val="20"/>
      <w:lang w:bidi="he-IL"/>
    </w:rPr>
  </w:style>
  <w:style w:type="character" w:customStyle="1" w:styleId="Heading51">
    <w:name w:val="Heading5 (文字)"/>
    <w:link w:val="Heading50"/>
    <w:locked/>
    <w:rsid w:val="008225C9"/>
    <w:rPr>
      <w:rFonts w:ascii="Times New Roman" w:eastAsia="MS Mincho" w:hAnsi="Times New Roman" w:cs="Times New Roman"/>
      <w:b/>
      <w:kern w:val="0"/>
      <w:sz w:val="22"/>
      <w:szCs w:val="20"/>
      <w:lang w:val="es-GT" w:bidi="he-IL"/>
    </w:rPr>
  </w:style>
  <w:style w:type="character" w:customStyle="1" w:styleId="Heading5Char">
    <w:name w:val="Heading 5 Char"/>
    <w:basedOn w:val="DefaultParagraphFont"/>
    <w:link w:val="Heading5"/>
    <w:uiPriority w:val="9"/>
    <w:semiHidden/>
    <w:rsid w:val="001C7E0B"/>
    <w:rPr>
      <w:color w:val="243F60" w:themeColor="accent1" w:themeShade="7F"/>
      <w:lang w:bidi="ar-SA"/>
    </w:rPr>
  </w:style>
  <w:style w:type="table" w:styleId="TableGrid">
    <w:name w:val="Table Grid"/>
    <w:basedOn w:val="TableNormal"/>
    <w:uiPriority w:val="59"/>
    <w:rsid w:val="008F56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C5968"/>
    <w:pPr>
      <w:snapToGrid w:val="0"/>
    </w:pPr>
  </w:style>
  <w:style w:type="character" w:customStyle="1" w:styleId="FootnoteTextChar">
    <w:name w:val="Footnote Text Char"/>
    <w:basedOn w:val="DefaultParagraphFont"/>
    <w:link w:val="FootnoteText"/>
    <w:uiPriority w:val="99"/>
    <w:semiHidden/>
    <w:rsid w:val="003C5968"/>
    <w:rPr>
      <w:rFonts w:ascii="Times New Roman" w:eastAsia="MS Mincho" w:hAnsi="Times New Roman" w:cs="Times New Roman"/>
    </w:rPr>
  </w:style>
  <w:style w:type="character" w:styleId="FootnoteReference">
    <w:name w:val="footnote reference"/>
    <w:basedOn w:val="DefaultParagraphFont"/>
    <w:uiPriority w:val="99"/>
    <w:semiHidden/>
    <w:unhideWhenUsed/>
    <w:rsid w:val="003C5968"/>
    <w:rPr>
      <w:vertAlign w:val="superscript"/>
    </w:rPr>
  </w:style>
  <w:style w:type="character" w:styleId="CommentReference">
    <w:name w:val="annotation reference"/>
    <w:basedOn w:val="DefaultParagraphFont"/>
    <w:uiPriority w:val="99"/>
    <w:semiHidden/>
    <w:unhideWhenUsed/>
    <w:rsid w:val="002922E7"/>
    <w:rPr>
      <w:sz w:val="16"/>
      <w:szCs w:val="16"/>
    </w:rPr>
  </w:style>
  <w:style w:type="paragraph" w:styleId="CommentText">
    <w:name w:val="annotation text"/>
    <w:basedOn w:val="Normal"/>
    <w:link w:val="CommentTextChar"/>
    <w:uiPriority w:val="99"/>
    <w:semiHidden/>
    <w:unhideWhenUsed/>
    <w:rsid w:val="002922E7"/>
    <w:rPr>
      <w:sz w:val="20"/>
      <w:szCs w:val="20"/>
    </w:rPr>
  </w:style>
  <w:style w:type="character" w:customStyle="1" w:styleId="CommentTextChar">
    <w:name w:val="Comment Text Char"/>
    <w:basedOn w:val="DefaultParagraphFont"/>
    <w:link w:val="CommentText"/>
    <w:uiPriority w:val="99"/>
    <w:semiHidden/>
    <w:rsid w:val="002922E7"/>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22E7"/>
    <w:rPr>
      <w:b/>
      <w:bCs/>
    </w:rPr>
  </w:style>
  <w:style w:type="character" w:customStyle="1" w:styleId="CommentSubjectChar">
    <w:name w:val="Comment Subject Char"/>
    <w:basedOn w:val="CommentTextChar"/>
    <w:link w:val="CommentSubject"/>
    <w:uiPriority w:val="99"/>
    <w:semiHidden/>
    <w:rsid w:val="002922E7"/>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2922E7"/>
    <w:rPr>
      <w:rFonts w:ascii="MS UI Gothic" w:eastAsia="MS UI Gothic"/>
      <w:sz w:val="18"/>
      <w:szCs w:val="18"/>
    </w:rPr>
  </w:style>
  <w:style w:type="character" w:customStyle="1" w:styleId="BalloonTextChar">
    <w:name w:val="Balloon Text Char"/>
    <w:basedOn w:val="DefaultParagraphFont"/>
    <w:link w:val="BalloonText"/>
    <w:uiPriority w:val="99"/>
    <w:semiHidden/>
    <w:rsid w:val="002922E7"/>
    <w:rPr>
      <w:rFonts w:ascii="MS UI Gothic" w:eastAsia="MS UI Gothic" w:hAnsi="Times New Roman" w:cs="Times New Roman"/>
      <w:sz w:val="18"/>
      <w:szCs w:val="18"/>
    </w:rPr>
  </w:style>
  <w:style w:type="paragraph" w:styleId="NormalWeb">
    <w:name w:val="Normal (Web)"/>
    <w:basedOn w:val="Normal"/>
    <w:uiPriority w:val="99"/>
    <w:semiHidden/>
    <w:unhideWhenUsed/>
    <w:rsid w:val="00430FDE"/>
    <w:pPr>
      <w:spacing w:before="100" w:beforeAutospacing="1" w:after="100" w:afterAutospacing="1"/>
    </w:pPr>
    <w:rPr>
      <w:rFonts w:ascii="MS PGothic" w:eastAsia="MS PGothic" w:hAnsi="MS PGothic" w:cs="MS PGothic"/>
      <w:sz w:val="24"/>
      <w:szCs w:val="24"/>
    </w:rPr>
  </w:style>
  <w:style w:type="paragraph" w:styleId="Header">
    <w:name w:val="header"/>
    <w:basedOn w:val="Normal"/>
    <w:link w:val="HeaderChar"/>
    <w:uiPriority w:val="99"/>
    <w:unhideWhenUsed/>
    <w:rsid w:val="009F1B34"/>
    <w:pPr>
      <w:tabs>
        <w:tab w:val="center" w:pos="4252"/>
        <w:tab w:val="right" w:pos="8504"/>
      </w:tabs>
      <w:snapToGrid w:val="0"/>
    </w:pPr>
  </w:style>
  <w:style w:type="character" w:customStyle="1" w:styleId="HeaderChar">
    <w:name w:val="Header Char"/>
    <w:basedOn w:val="DefaultParagraphFont"/>
    <w:link w:val="Header"/>
    <w:uiPriority w:val="99"/>
    <w:rsid w:val="009F1B34"/>
    <w:rPr>
      <w:rFonts w:ascii="Times New Roman" w:eastAsia="MS Mincho" w:hAnsi="Times New Roman" w:cs="Times New Roman"/>
    </w:rPr>
  </w:style>
  <w:style w:type="paragraph" w:styleId="Footer">
    <w:name w:val="footer"/>
    <w:basedOn w:val="Normal"/>
    <w:link w:val="FooterChar"/>
    <w:uiPriority w:val="99"/>
    <w:unhideWhenUsed/>
    <w:rsid w:val="009F1B34"/>
    <w:pPr>
      <w:tabs>
        <w:tab w:val="center" w:pos="4252"/>
        <w:tab w:val="right" w:pos="8504"/>
      </w:tabs>
      <w:snapToGrid w:val="0"/>
    </w:pPr>
  </w:style>
  <w:style w:type="character" w:customStyle="1" w:styleId="FooterChar">
    <w:name w:val="Footer Char"/>
    <w:basedOn w:val="DefaultParagraphFont"/>
    <w:link w:val="Footer"/>
    <w:uiPriority w:val="99"/>
    <w:rsid w:val="009F1B34"/>
    <w:rPr>
      <w:rFonts w:ascii="Times New Roman" w:eastAsia="MS Mincho" w:hAnsi="Times New Roman" w:cs="Times New Roman"/>
    </w:rPr>
  </w:style>
  <w:style w:type="character" w:customStyle="1" w:styleId="Heading1Char">
    <w:name w:val="Heading 1 Char"/>
    <w:basedOn w:val="DefaultParagraphFont"/>
    <w:link w:val="Heading1"/>
    <w:uiPriority w:val="9"/>
    <w:rsid w:val="001C7E0B"/>
    <w:rPr>
      <w:rFonts w:ascii="Verdana" w:hAnsi="Verdana" w:cstheme="minorHAnsi"/>
      <w:b/>
      <w:bCs/>
      <w:sz w:val="28"/>
      <w:szCs w:val="28"/>
      <w:lang w:val="en-GB" w:bidi="he-IL"/>
    </w:rPr>
  </w:style>
  <w:style w:type="character" w:customStyle="1" w:styleId="Heading2Char">
    <w:name w:val="Heading 2 Char"/>
    <w:basedOn w:val="DefaultParagraphFont"/>
    <w:link w:val="Heading2"/>
    <w:uiPriority w:val="9"/>
    <w:rsid w:val="001C7E0B"/>
    <w:rPr>
      <w:rFonts w:ascii="Verdana" w:hAnsi="Verdana" w:cstheme="minorHAnsi"/>
      <w:b/>
      <w:bCs/>
      <w:sz w:val="24"/>
      <w:szCs w:val="24"/>
      <w:lang w:bidi="ar-SA"/>
    </w:rPr>
  </w:style>
  <w:style w:type="character" w:customStyle="1" w:styleId="Heading3Char">
    <w:name w:val="Heading 3 Char"/>
    <w:basedOn w:val="DefaultParagraphFont"/>
    <w:link w:val="Heading3"/>
    <w:uiPriority w:val="9"/>
    <w:rsid w:val="001C7E0B"/>
    <w:rPr>
      <w:rFonts w:ascii="Verdana" w:hAnsi="Verdana" w:cstheme="minorHAnsi"/>
      <w:b/>
      <w:bCs/>
      <w:lang w:bidi="ar-SA"/>
    </w:rPr>
  </w:style>
  <w:style w:type="character" w:customStyle="1" w:styleId="Heading4Char">
    <w:name w:val="Heading 4 Char"/>
    <w:basedOn w:val="DefaultParagraphFont"/>
    <w:link w:val="Heading4"/>
    <w:uiPriority w:val="9"/>
    <w:semiHidden/>
    <w:rsid w:val="001C7E0B"/>
    <w:rPr>
      <w:b/>
      <w:bCs/>
      <w:i/>
      <w:iCs/>
      <w:color w:val="4F81BD" w:themeColor="accent1"/>
      <w:lang w:bidi="ar-SA"/>
    </w:rPr>
  </w:style>
  <w:style w:type="character" w:customStyle="1" w:styleId="Heading6Char">
    <w:name w:val="Heading 6 Char"/>
    <w:basedOn w:val="DefaultParagraphFont"/>
    <w:link w:val="Heading6"/>
    <w:uiPriority w:val="9"/>
    <w:semiHidden/>
    <w:rsid w:val="001C7E0B"/>
    <w:rPr>
      <w:i/>
      <w:iCs/>
      <w:color w:val="243F60" w:themeColor="accent1" w:themeShade="7F"/>
      <w:lang w:bidi="ar-SA"/>
    </w:rPr>
  </w:style>
  <w:style w:type="character" w:customStyle="1" w:styleId="Heading7Char">
    <w:name w:val="Heading 7 Char"/>
    <w:basedOn w:val="DefaultParagraphFont"/>
    <w:link w:val="Heading7"/>
    <w:uiPriority w:val="9"/>
    <w:semiHidden/>
    <w:rsid w:val="001C7E0B"/>
    <w:rPr>
      <w:rFonts w:asciiTheme="minorHAnsi" w:eastAsiaTheme="minorHAnsi" w:hAnsiTheme="minorHAnsi" w:cstheme="minorBidi"/>
      <w:b/>
      <w:bCs/>
      <w:i/>
      <w:iCs/>
      <w:color w:val="5A5A5A" w:themeColor="text1" w:themeTint="A5"/>
      <w:sz w:val="20"/>
      <w:szCs w:val="20"/>
      <w:lang w:bidi="ar-SA"/>
    </w:rPr>
  </w:style>
  <w:style w:type="character" w:customStyle="1" w:styleId="Heading8Char">
    <w:name w:val="Heading 8 Char"/>
    <w:basedOn w:val="DefaultParagraphFont"/>
    <w:link w:val="Heading8"/>
    <w:uiPriority w:val="9"/>
    <w:semiHidden/>
    <w:rsid w:val="001C7E0B"/>
    <w:rPr>
      <w:rFonts w:asciiTheme="minorHAnsi" w:eastAsiaTheme="minorHAnsi" w:hAnsiTheme="minorHAnsi" w:cstheme="minorBidi"/>
      <w:b/>
      <w:bCs/>
      <w:color w:val="7F7F7F" w:themeColor="text1" w:themeTint="80"/>
      <w:sz w:val="20"/>
      <w:szCs w:val="20"/>
      <w:lang w:bidi="ar-SA"/>
    </w:rPr>
  </w:style>
  <w:style w:type="character" w:customStyle="1" w:styleId="Heading9Char">
    <w:name w:val="Heading 9 Char"/>
    <w:basedOn w:val="DefaultParagraphFont"/>
    <w:link w:val="Heading9"/>
    <w:uiPriority w:val="9"/>
    <w:semiHidden/>
    <w:rsid w:val="001C7E0B"/>
    <w:rPr>
      <w:rFonts w:asciiTheme="minorHAnsi" w:eastAsiaTheme="minorHAnsi" w:hAnsiTheme="minorHAnsi" w:cstheme="minorBidi"/>
      <w:b/>
      <w:bCs/>
      <w:i/>
      <w:iCs/>
      <w:color w:val="7F7F7F" w:themeColor="text1" w:themeTint="80"/>
      <w:sz w:val="18"/>
      <w:szCs w:val="18"/>
      <w:lang w:bidi="ar-SA"/>
    </w:rPr>
  </w:style>
  <w:style w:type="paragraph" w:styleId="Title">
    <w:name w:val="Title"/>
    <w:basedOn w:val="Normal"/>
    <w:next w:val="Normal"/>
    <w:link w:val="TitleChar"/>
    <w:uiPriority w:val="10"/>
    <w:qFormat/>
    <w:rsid w:val="001C7E0B"/>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1C7E0B"/>
    <w:rPr>
      <w:smallCaps/>
      <w:sz w:val="52"/>
      <w:szCs w:val="52"/>
    </w:rPr>
  </w:style>
  <w:style w:type="paragraph" w:styleId="Subtitle">
    <w:name w:val="Subtitle"/>
    <w:basedOn w:val="Normal"/>
    <w:next w:val="Normal"/>
    <w:link w:val="SubtitleChar"/>
    <w:uiPriority w:val="11"/>
    <w:qFormat/>
    <w:rsid w:val="001C7E0B"/>
    <w:rPr>
      <w:i/>
      <w:iCs/>
      <w:smallCaps/>
      <w:spacing w:val="10"/>
      <w:sz w:val="28"/>
      <w:szCs w:val="28"/>
    </w:rPr>
  </w:style>
  <w:style w:type="character" w:customStyle="1" w:styleId="SubtitleChar">
    <w:name w:val="Subtitle Char"/>
    <w:basedOn w:val="DefaultParagraphFont"/>
    <w:link w:val="Subtitle"/>
    <w:uiPriority w:val="11"/>
    <w:rsid w:val="001C7E0B"/>
    <w:rPr>
      <w:i/>
      <w:iCs/>
      <w:smallCaps/>
      <w:spacing w:val="10"/>
      <w:sz w:val="28"/>
      <w:szCs w:val="28"/>
    </w:rPr>
  </w:style>
  <w:style w:type="character" w:styleId="Strong">
    <w:name w:val="Strong"/>
    <w:uiPriority w:val="22"/>
    <w:qFormat/>
    <w:rsid w:val="001C7E0B"/>
    <w:rPr>
      <w:b/>
      <w:bCs/>
    </w:rPr>
  </w:style>
  <w:style w:type="character" w:styleId="Emphasis">
    <w:name w:val="Emphasis"/>
    <w:uiPriority w:val="20"/>
    <w:qFormat/>
    <w:rsid w:val="001C7E0B"/>
    <w:rPr>
      <w:b/>
      <w:bCs/>
      <w:i/>
      <w:iCs/>
      <w:spacing w:val="10"/>
    </w:rPr>
  </w:style>
  <w:style w:type="paragraph" w:styleId="NoSpacing">
    <w:name w:val="No Spacing"/>
    <w:basedOn w:val="Normal"/>
    <w:uiPriority w:val="1"/>
    <w:qFormat/>
    <w:rsid w:val="001C7E0B"/>
    <w:pPr>
      <w:spacing w:after="0" w:line="240" w:lineRule="auto"/>
    </w:pPr>
  </w:style>
  <w:style w:type="paragraph" w:styleId="Quote">
    <w:name w:val="Quote"/>
    <w:basedOn w:val="Normal"/>
    <w:next w:val="Normal"/>
    <w:link w:val="QuoteChar"/>
    <w:uiPriority w:val="29"/>
    <w:qFormat/>
    <w:rsid w:val="001C7E0B"/>
    <w:rPr>
      <w:i/>
      <w:iCs/>
    </w:rPr>
  </w:style>
  <w:style w:type="character" w:customStyle="1" w:styleId="QuoteChar">
    <w:name w:val="Quote Char"/>
    <w:basedOn w:val="DefaultParagraphFont"/>
    <w:link w:val="Quote"/>
    <w:uiPriority w:val="29"/>
    <w:rsid w:val="001C7E0B"/>
    <w:rPr>
      <w:i/>
      <w:iCs/>
    </w:rPr>
  </w:style>
  <w:style w:type="paragraph" w:styleId="IntenseQuote">
    <w:name w:val="Intense Quote"/>
    <w:basedOn w:val="Normal"/>
    <w:next w:val="Normal"/>
    <w:link w:val="IntenseQuoteChar"/>
    <w:uiPriority w:val="30"/>
    <w:qFormat/>
    <w:rsid w:val="001C7E0B"/>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1C7E0B"/>
    <w:rPr>
      <w:i/>
      <w:iCs/>
    </w:rPr>
  </w:style>
  <w:style w:type="character" w:styleId="SubtleEmphasis">
    <w:name w:val="Subtle Emphasis"/>
    <w:uiPriority w:val="19"/>
    <w:qFormat/>
    <w:rsid w:val="001C7E0B"/>
    <w:rPr>
      <w:i/>
      <w:iCs/>
    </w:rPr>
  </w:style>
  <w:style w:type="character" w:styleId="IntenseEmphasis">
    <w:name w:val="Intense Emphasis"/>
    <w:uiPriority w:val="21"/>
    <w:qFormat/>
    <w:rsid w:val="001C7E0B"/>
    <w:rPr>
      <w:b/>
      <w:bCs/>
      <w:i/>
      <w:iCs/>
    </w:rPr>
  </w:style>
  <w:style w:type="character" w:styleId="SubtleReference">
    <w:name w:val="Subtle Reference"/>
    <w:basedOn w:val="DefaultParagraphFont"/>
    <w:uiPriority w:val="31"/>
    <w:qFormat/>
    <w:rsid w:val="001C7E0B"/>
    <w:rPr>
      <w:smallCaps/>
    </w:rPr>
  </w:style>
  <w:style w:type="character" w:styleId="IntenseReference">
    <w:name w:val="Intense Reference"/>
    <w:uiPriority w:val="32"/>
    <w:qFormat/>
    <w:rsid w:val="001C7E0B"/>
    <w:rPr>
      <w:b/>
      <w:bCs/>
      <w:smallCaps/>
    </w:rPr>
  </w:style>
  <w:style w:type="character" w:styleId="BookTitle">
    <w:name w:val="Book Title"/>
    <w:basedOn w:val="DefaultParagraphFont"/>
    <w:uiPriority w:val="33"/>
    <w:qFormat/>
    <w:rsid w:val="001C7E0B"/>
    <w:rPr>
      <w:i/>
      <w:iCs/>
      <w:smallCaps/>
      <w:spacing w:val="5"/>
    </w:rPr>
  </w:style>
  <w:style w:type="paragraph" w:styleId="TOCHeading">
    <w:name w:val="TOC Heading"/>
    <w:basedOn w:val="Heading1"/>
    <w:next w:val="Normal"/>
    <w:uiPriority w:val="39"/>
    <w:unhideWhenUsed/>
    <w:qFormat/>
    <w:rsid w:val="001C7E0B"/>
    <w:pPr>
      <w:outlineLvl w:val="9"/>
    </w:pPr>
  </w:style>
  <w:style w:type="paragraph" w:customStyle="1" w:styleId="b">
    <w:name w:val="b"/>
    <w:aliases w:val="bullets"/>
    <w:basedOn w:val="Normal"/>
    <w:link w:val="bChar"/>
    <w:qFormat/>
    <w:rsid w:val="0043551B"/>
    <w:pPr>
      <w:numPr>
        <w:numId w:val="16"/>
      </w:numPr>
      <w:spacing w:after="120" w:line="240" w:lineRule="auto"/>
    </w:pPr>
    <w:rPr>
      <w:rFonts w:ascii="Verdana" w:hAnsi="Verdana"/>
      <w:szCs w:val="20"/>
    </w:rPr>
  </w:style>
  <w:style w:type="paragraph" w:customStyle="1" w:styleId="t">
    <w:name w:val="t"/>
    <w:aliases w:val="text"/>
    <w:basedOn w:val="Normal"/>
    <w:rsid w:val="001C7E0B"/>
    <w:pPr>
      <w:tabs>
        <w:tab w:val="left" w:pos="-1440"/>
        <w:tab w:val="left" w:pos="-720"/>
      </w:tabs>
      <w:spacing w:after="240" w:line="240" w:lineRule="auto"/>
    </w:pPr>
    <w:rPr>
      <w:rFonts w:ascii="Verdana" w:eastAsia="Times New Roman" w:hAnsi="Verdana" w:cs="Times New Roman"/>
    </w:rPr>
  </w:style>
  <w:style w:type="paragraph" w:styleId="Caption">
    <w:name w:val="caption"/>
    <w:basedOn w:val="t"/>
    <w:next w:val="Normal"/>
    <w:uiPriority w:val="35"/>
    <w:unhideWhenUsed/>
    <w:qFormat/>
    <w:rsid w:val="001C7E0B"/>
    <w:pPr>
      <w:spacing w:after="200"/>
      <w:jc w:val="center"/>
    </w:pPr>
    <w:rPr>
      <w:b/>
    </w:rPr>
  </w:style>
  <w:style w:type="paragraph" w:customStyle="1" w:styleId="intobulletts">
    <w:name w:val="into bulletts"/>
    <w:basedOn w:val="t"/>
    <w:qFormat/>
    <w:rsid w:val="001C7E0B"/>
    <w:pPr>
      <w:spacing w:after="120"/>
    </w:pPr>
  </w:style>
  <w:style w:type="paragraph" w:customStyle="1" w:styleId="ob">
    <w:name w:val="ob"/>
    <w:aliases w:val="out of bullets"/>
    <w:basedOn w:val="b"/>
    <w:qFormat/>
    <w:rsid w:val="001C7E0B"/>
    <w:pPr>
      <w:numPr>
        <w:numId w:val="0"/>
      </w:numPr>
      <w:spacing w:after="240"/>
    </w:pPr>
  </w:style>
  <w:style w:type="paragraph" w:styleId="TOC1">
    <w:name w:val="toc 1"/>
    <w:basedOn w:val="Normal"/>
    <w:next w:val="Normal"/>
    <w:autoRedefine/>
    <w:uiPriority w:val="39"/>
    <w:unhideWhenUsed/>
    <w:rsid w:val="001C7E0B"/>
    <w:pPr>
      <w:tabs>
        <w:tab w:val="left" w:pos="360"/>
        <w:tab w:val="right" w:pos="9000"/>
      </w:tabs>
      <w:spacing w:after="100" w:line="240" w:lineRule="auto"/>
      <w:ind w:right="27"/>
    </w:pPr>
    <w:rPr>
      <w:rFonts w:ascii="Verdana" w:hAnsi="Verdana"/>
      <w:b/>
      <w:noProof/>
      <w:sz w:val="20"/>
      <w:szCs w:val="20"/>
    </w:rPr>
  </w:style>
  <w:style w:type="paragraph" w:styleId="TOC2">
    <w:name w:val="toc 2"/>
    <w:basedOn w:val="Normal"/>
    <w:next w:val="Normal"/>
    <w:autoRedefine/>
    <w:uiPriority w:val="39"/>
    <w:unhideWhenUsed/>
    <w:rsid w:val="001C7E0B"/>
    <w:pPr>
      <w:tabs>
        <w:tab w:val="left" w:pos="880"/>
        <w:tab w:val="right" w:pos="9000"/>
      </w:tabs>
      <w:spacing w:after="100" w:line="240" w:lineRule="auto"/>
      <w:ind w:left="893" w:right="27" w:hanging="677"/>
    </w:pPr>
    <w:rPr>
      <w:rFonts w:ascii="Verdana" w:hAnsi="Verdana"/>
      <w:noProof/>
      <w:sz w:val="20"/>
      <w:szCs w:val="20"/>
    </w:rPr>
  </w:style>
  <w:style w:type="paragraph" w:styleId="TOC3">
    <w:name w:val="toc 3"/>
    <w:basedOn w:val="Normal"/>
    <w:next w:val="Normal"/>
    <w:autoRedefine/>
    <w:uiPriority w:val="39"/>
    <w:unhideWhenUsed/>
    <w:rsid w:val="001C7E0B"/>
    <w:pPr>
      <w:spacing w:after="100"/>
      <w:ind w:left="440"/>
    </w:pPr>
  </w:style>
  <w:style w:type="paragraph" w:customStyle="1" w:styleId="oboutofbullets">
    <w:name w:val="ob out of bullets"/>
    <w:basedOn w:val="b"/>
    <w:link w:val="oboutofbulletsChar"/>
    <w:qFormat/>
    <w:rsid w:val="000F1E04"/>
  </w:style>
  <w:style w:type="character" w:styleId="Hyperlink">
    <w:name w:val="Hyperlink"/>
    <w:basedOn w:val="DefaultParagraphFont"/>
    <w:uiPriority w:val="99"/>
    <w:unhideWhenUsed/>
    <w:rsid w:val="0043551B"/>
    <w:rPr>
      <w:color w:val="0000FF" w:themeColor="hyperlink"/>
      <w:u w:val="single"/>
    </w:rPr>
  </w:style>
  <w:style w:type="character" w:customStyle="1" w:styleId="bChar">
    <w:name w:val="b Char"/>
    <w:aliases w:val="bullets Char"/>
    <w:basedOn w:val="DefaultParagraphFont"/>
    <w:link w:val="b"/>
    <w:rsid w:val="0043551B"/>
    <w:rPr>
      <w:rFonts w:ascii="Verdana" w:eastAsiaTheme="minorHAnsi" w:hAnsi="Verdana" w:cstheme="minorBidi"/>
      <w:szCs w:val="20"/>
      <w:lang w:bidi="ar-SA"/>
    </w:rPr>
  </w:style>
  <w:style w:type="character" w:customStyle="1" w:styleId="oboutofbulletsChar">
    <w:name w:val="ob out of bullets Char"/>
    <w:basedOn w:val="bChar"/>
    <w:link w:val="oboutofbullets"/>
    <w:rsid w:val="000F1E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1D"/>
    <w:pPr>
      <w:widowControl w:val="0"/>
      <w:jc w:val="both"/>
    </w:pPr>
    <w:rPr>
      <w:rFonts w:ascii="Times New Roman" w:eastAsia="ＭＳ 明朝" w:hAnsi="Times New Roman" w:cs="Times New Roman"/>
    </w:rPr>
  </w:style>
  <w:style w:type="paragraph" w:styleId="5">
    <w:name w:val="heading 5"/>
    <w:basedOn w:val="a"/>
    <w:next w:val="a"/>
    <w:link w:val="50"/>
    <w:uiPriority w:val="9"/>
    <w:semiHidden/>
    <w:unhideWhenUsed/>
    <w:qFormat/>
    <w:rsid w:val="008225C9"/>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F02"/>
    <w:pPr>
      <w:ind w:leftChars="400" w:left="840"/>
    </w:pPr>
  </w:style>
  <w:style w:type="paragraph" w:customStyle="1" w:styleId="Heading5">
    <w:name w:val="Heading5"/>
    <w:basedOn w:val="5"/>
    <w:link w:val="Heading50"/>
    <w:qFormat/>
    <w:rsid w:val="008225C9"/>
    <w:pPr>
      <w:keepNext w:val="0"/>
      <w:widowControl/>
      <w:tabs>
        <w:tab w:val="left" w:pos="1077"/>
      </w:tabs>
      <w:overflowPunct w:val="0"/>
      <w:autoSpaceDE w:val="0"/>
      <w:autoSpaceDN w:val="0"/>
      <w:adjustRightInd w:val="0"/>
      <w:spacing w:afterLines="30"/>
      <w:ind w:leftChars="0" w:left="0"/>
      <w:jc w:val="center"/>
      <w:textAlignment w:val="baseline"/>
    </w:pPr>
    <w:rPr>
      <w:rFonts w:ascii="Times New Roman" w:eastAsia="ＭＳ 明朝" w:hAnsi="Times New Roman" w:cs="Times New Roman"/>
      <w:b/>
      <w:kern w:val="0"/>
      <w:sz w:val="22"/>
      <w:szCs w:val="20"/>
      <w:lang w:val="es-GT" w:bidi="he-IL"/>
    </w:rPr>
  </w:style>
  <w:style w:type="paragraph" w:customStyle="1" w:styleId="MainText">
    <w:name w:val="MainText"/>
    <w:basedOn w:val="a"/>
    <w:link w:val="MainText0"/>
    <w:rsid w:val="008225C9"/>
    <w:pPr>
      <w:adjustRightInd w:val="0"/>
      <w:ind w:left="567" w:firstLine="227"/>
      <w:textAlignment w:val="baseline"/>
    </w:pPr>
    <w:rPr>
      <w:kern w:val="0"/>
      <w:sz w:val="22"/>
      <w:szCs w:val="20"/>
      <w:lang w:bidi="he-IL"/>
    </w:rPr>
  </w:style>
  <w:style w:type="character" w:customStyle="1" w:styleId="MainText0">
    <w:name w:val="MainText (文字)"/>
    <w:link w:val="MainText"/>
    <w:rsid w:val="008225C9"/>
    <w:rPr>
      <w:rFonts w:ascii="Times New Roman" w:eastAsia="ＭＳ 明朝" w:hAnsi="Times New Roman" w:cs="Times New Roman"/>
      <w:kern w:val="0"/>
      <w:sz w:val="22"/>
      <w:szCs w:val="20"/>
      <w:lang w:bidi="he-IL"/>
    </w:rPr>
  </w:style>
  <w:style w:type="character" w:customStyle="1" w:styleId="Heading50">
    <w:name w:val="Heading5 (文字)"/>
    <w:link w:val="Heading5"/>
    <w:locked/>
    <w:rsid w:val="008225C9"/>
    <w:rPr>
      <w:rFonts w:ascii="Times New Roman" w:eastAsia="ＭＳ 明朝" w:hAnsi="Times New Roman" w:cs="Times New Roman"/>
      <w:b/>
      <w:kern w:val="0"/>
      <w:sz w:val="22"/>
      <w:szCs w:val="20"/>
      <w:lang w:val="es-GT" w:bidi="he-IL"/>
    </w:rPr>
  </w:style>
  <w:style w:type="character" w:customStyle="1" w:styleId="50">
    <w:name w:val="見出し 5 (文字)"/>
    <w:basedOn w:val="a0"/>
    <w:link w:val="5"/>
    <w:uiPriority w:val="9"/>
    <w:semiHidden/>
    <w:rsid w:val="008225C9"/>
    <w:rPr>
      <w:rFonts w:asciiTheme="majorHAnsi" w:eastAsiaTheme="majorEastAsia" w:hAnsiTheme="majorHAnsi" w:cstheme="majorBidi"/>
    </w:rPr>
  </w:style>
  <w:style w:type="table" w:styleId="a4">
    <w:name w:val="Table Grid"/>
    <w:basedOn w:val="a1"/>
    <w:uiPriority w:val="59"/>
    <w:rsid w:val="008F56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3C5968"/>
    <w:pPr>
      <w:snapToGrid w:val="0"/>
      <w:jc w:val="left"/>
    </w:pPr>
  </w:style>
  <w:style w:type="character" w:customStyle="1" w:styleId="a6">
    <w:name w:val="脚注文字列 (文字)"/>
    <w:basedOn w:val="a0"/>
    <w:link w:val="a5"/>
    <w:uiPriority w:val="99"/>
    <w:semiHidden/>
    <w:rsid w:val="003C5968"/>
    <w:rPr>
      <w:rFonts w:ascii="Times New Roman" w:eastAsia="ＭＳ 明朝" w:hAnsi="Times New Roman" w:cs="Times New Roman"/>
    </w:rPr>
  </w:style>
  <w:style w:type="character" w:styleId="a7">
    <w:name w:val="footnote reference"/>
    <w:basedOn w:val="a0"/>
    <w:uiPriority w:val="99"/>
    <w:semiHidden/>
    <w:unhideWhenUsed/>
    <w:rsid w:val="003C5968"/>
    <w:rPr>
      <w:vertAlign w:val="superscript"/>
    </w:rPr>
  </w:style>
  <w:style w:type="character" w:styleId="a8">
    <w:name w:val="annotation reference"/>
    <w:basedOn w:val="a0"/>
    <w:uiPriority w:val="99"/>
    <w:semiHidden/>
    <w:unhideWhenUsed/>
    <w:rsid w:val="002922E7"/>
    <w:rPr>
      <w:sz w:val="16"/>
      <w:szCs w:val="16"/>
    </w:rPr>
  </w:style>
  <w:style w:type="paragraph" w:styleId="a9">
    <w:name w:val="annotation text"/>
    <w:basedOn w:val="a"/>
    <w:link w:val="aa"/>
    <w:uiPriority w:val="99"/>
    <w:semiHidden/>
    <w:unhideWhenUsed/>
    <w:rsid w:val="002922E7"/>
    <w:rPr>
      <w:sz w:val="20"/>
      <w:szCs w:val="20"/>
    </w:rPr>
  </w:style>
  <w:style w:type="character" w:customStyle="1" w:styleId="aa">
    <w:name w:val="コメント文字列 (文字)"/>
    <w:basedOn w:val="a0"/>
    <w:link w:val="a9"/>
    <w:uiPriority w:val="99"/>
    <w:semiHidden/>
    <w:rsid w:val="002922E7"/>
    <w:rPr>
      <w:rFonts w:ascii="Times New Roman" w:eastAsia="ＭＳ 明朝" w:hAnsi="Times New Roman" w:cs="Times New Roman"/>
      <w:sz w:val="20"/>
      <w:szCs w:val="20"/>
    </w:rPr>
  </w:style>
  <w:style w:type="paragraph" w:styleId="ab">
    <w:name w:val="annotation subject"/>
    <w:basedOn w:val="a9"/>
    <w:next w:val="a9"/>
    <w:link w:val="ac"/>
    <w:uiPriority w:val="99"/>
    <w:semiHidden/>
    <w:unhideWhenUsed/>
    <w:rsid w:val="002922E7"/>
    <w:rPr>
      <w:b/>
      <w:bCs/>
    </w:rPr>
  </w:style>
  <w:style w:type="character" w:customStyle="1" w:styleId="ac">
    <w:name w:val="コメント内容 (文字)"/>
    <w:basedOn w:val="aa"/>
    <w:link w:val="ab"/>
    <w:uiPriority w:val="99"/>
    <w:semiHidden/>
    <w:rsid w:val="002922E7"/>
    <w:rPr>
      <w:rFonts w:ascii="Times New Roman" w:eastAsia="ＭＳ 明朝" w:hAnsi="Times New Roman" w:cs="Times New Roman"/>
      <w:b/>
      <w:bCs/>
      <w:sz w:val="20"/>
      <w:szCs w:val="20"/>
    </w:rPr>
  </w:style>
  <w:style w:type="paragraph" w:styleId="ad">
    <w:name w:val="Balloon Text"/>
    <w:basedOn w:val="a"/>
    <w:link w:val="ae"/>
    <w:uiPriority w:val="99"/>
    <w:semiHidden/>
    <w:unhideWhenUsed/>
    <w:rsid w:val="002922E7"/>
    <w:rPr>
      <w:rFonts w:ascii="MS UI Gothic" w:eastAsia="MS UI Gothic"/>
      <w:sz w:val="18"/>
      <w:szCs w:val="18"/>
    </w:rPr>
  </w:style>
  <w:style w:type="character" w:customStyle="1" w:styleId="ae">
    <w:name w:val="吹き出し (文字)"/>
    <w:basedOn w:val="a0"/>
    <w:link w:val="ad"/>
    <w:uiPriority w:val="99"/>
    <w:semiHidden/>
    <w:rsid w:val="002922E7"/>
    <w:rPr>
      <w:rFonts w:ascii="MS UI Gothic" w:eastAsia="MS UI Gothic" w:hAnsi="Times New Roman" w:cs="Times New Roman"/>
      <w:sz w:val="18"/>
      <w:szCs w:val="18"/>
    </w:rPr>
  </w:style>
  <w:style w:type="paragraph" w:styleId="Web">
    <w:name w:val="Normal (Web)"/>
    <w:basedOn w:val="a"/>
    <w:uiPriority w:val="99"/>
    <w:semiHidden/>
    <w:unhideWhenUsed/>
    <w:rsid w:val="00430FD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header"/>
    <w:basedOn w:val="a"/>
    <w:link w:val="af0"/>
    <w:uiPriority w:val="99"/>
    <w:unhideWhenUsed/>
    <w:rsid w:val="009F1B34"/>
    <w:pPr>
      <w:tabs>
        <w:tab w:val="center" w:pos="4252"/>
        <w:tab w:val="right" w:pos="8504"/>
      </w:tabs>
      <w:snapToGrid w:val="0"/>
    </w:pPr>
  </w:style>
  <w:style w:type="character" w:customStyle="1" w:styleId="af0">
    <w:name w:val="ヘッダー (文字)"/>
    <w:basedOn w:val="a0"/>
    <w:link w:val="af"/>
    <w:uiPriority w:val="99"/>
    <w:rsid w:val="009F1B34"/>
    <w:rPr>
      <w:rFonts w:ascii="Times New Roman" w:eastAsia="ＭＳ 明朝" w:hAnsi="Times New Roman" w:cs="Times New Roman"/>
    </w:rPr>
  </w:style>
  <w:style w:type="paragraph" w:styleId="af1">
    <w:name w:val="footer"/>
    <w:basedOn w:val="a"/>
    <w:link w:val="af2"/>
    <w:uiPriority w:val="99"/>
    <w:unhideWhenUsed/>
    <w:rsid w:val="009F1B34"/>
    <w:pPr>
      <w:tabs>
        <w:tab w:val="center" w:pos="4252"/>
        <w:tab w:val="right" w:pos="8504"/>
      </w:tabs>
      <w:snapToGrid w:val="0"/>
    </w:pPr>
  </w:style>
  <w:style w:type="character" w:customStyle="1" w:styleId="af2">
    <w:name w:val="フッター (文字)"/>
    <w:basedOn w:val="a0"/>
    <w:link w:val="af1"/>
    <w:uiPriority w:val="99"/>
    <w:rsid w:val="009F1B34"/>
    <w:rPr>
      <w:rFonts w:ascii="Times New Roman" w:eastAsia="ＭＳ 明朝" w:hAnsi="Times New Roman" w:cs="Times New Roman"/>
    </w:rPr>
  </w:style>
</w:styles>
</file>

<file path=word/webSettings.xml><?xml version="1.0" encoding="utf-8"?>
<w:webSettings xmlns:r="http://schemas.openxmlformats.org/officeDocument/2006/relationships" xmlns:w="http://schemas.openxmlformats.org/wordprocessingml/2006/main">
  <w:divs>
    <w:div w:id="103693139">
      <w:bodyDiv w:val="1"/>
      <w:marLeft w:val="0"/>
      <w:marRight w:val="0"/>
      <w:marTop w:val="0"/>
      <w:marBottom w:val="0"/>
      <w:divBdr>
        <w:top w:val="none" w:sz="0" w:space="0" w:color="auto"/>
        <w:left w:val="none" w:sz="0" w:space="0" w:color="auto"/>
        <w:bottom w:val="none" w:sz="0" w:space="0" w:color="auto"/>
        <w:right w:val="none" w:sz="0" w:space="0" w:color="auto"/>
      </w:divBdr>
    </w:div>
    <w:div w:id="924653073">
      <w:bodyDiv w:val="1"/>
      <w:marLeft w:val="0"/>
      <w:marRight w:val="0"/>
      <w:marTop w:val="0"/>
      <w:marBottom w:val="0"/>
      <w:divBdr>
        <w:top w:val="none" w:sz="0" w:space="0" w:color="auto"/>
        <w:left w:val="none" w:sz="0" w:space="0" w:color="auto"/>
        <w:bottom w:val="none" w:sz="0" w:space="0" w:color="auto"/>
        <w:right w:val="none" w:sz="0" w:space="0" w:color="auto"/>
      </w:divBdr>
    </w:div>
    <w:div w:id="128615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2F813-4673-41A6-A41D-F1FDDB6BB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8</Pages>
  <Words>1546</Words>
  <Characters>8817</Characters>
  <Application>Microsoft Office Word</Application>
  <DocSecurity>0</DocSecurity>
  <Lines>73</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Microsoft</Company>
  <LinksUpToDate>false</LinksUpToDate>
  <CharactersWithSpaces>10343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IZ-TAKAI</dc:creator>
  <cp:lastModifiedBy>tsimpson</cp:lastModifiedBy>
  <cp:revision>10</cp:revision>
  <dcterms:created xsi:type="dcterms:W3CDTF">2014-02-26T16:25:00Z</dcterms:created>
  <dcterms:modified xsi:type="dcterms:W3CDTF">2014-03-15T15:06:00Z</dcterms:modified>
</cp:coreProperties>
</file>